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769903">
      <w:pPr>
        <w:pStyle w:val="132"/>
        <w:framePr w:hSpace="0" w:vSpace="0" w:wrap="auto" w:vAnchor="margin" w:hAnchor="text" w:yAlign="inline"/>
        <w:ind w:right="-506" w:rightChars="-241"/>
        <w:outlineLvl w:val="0"/>
        <w:rPr>
          <w:rFonts w:ascii="Times New Roman" w:eastAsia="宋体"/>
        </w:rPr>
      </w:pPr>
      <w:bookmarkStart w:id="0" w:name="_Toc432690032"/>
      <w:bookmarkStart w:id="1" w:name="_Toc434508409"/>
      <w:bookmarkStart w:id="2" w:name="_Toc434853433"/>
      <w:bookmarkStart w:id="3" w:name="OLE_LINK4"/>
      <w:bookmarkStart w:id="4" w:name="OLE_LINK5"/>
      <w:bookmarkStart w:id="199" w:name="_GoBack"/>
      <w:bookmarkEnd w:id="199"/>
    </w:p>
    <w:p w14:paraId="34D8FC61">
      <w:pPr>
        <w:pStyle w:val="132"/>
        <w:framePr w:hSpace="0" w:vSpace="0" w:wrap="auto" w:vAnchor="margin" w:hAnchor="text" w:yAlign="inline"/>
        <w:ind w:right="-506" w:rightChars="-241"/>
        <w:outlineLvl w:val="0"/>
        <w:rPr>
          <w:rFonts w:ascii="Times New Roman" w:eastAsia="宋体"/>
        </w:rPr>
      </w:pPr>
      <w:r>
        <w:rPr>
          <w:rFonts w:ascii="Times New Roman" w:eastAsia="宋体"/>
        </w:rPr>
        <w:t xml:space="preserve">ICS  </w:t>
      </w:r>
      <w:bookmarkEnd w:id="0"/>
      <w:bookmarkEnd w:id="1"/>
      <w:bookmarkEnd w:id="2"/>
      <w:r>
        <w:rPr>
          <w:rFonts w:ascii="Times New Roman" w:eastAsia="宋体"/>
        </w:rPr>
        <w:t>XXX</w:t>
      </w:r>
    </w:p>
    <w:p w14:paraId="0356EB7C">
      <w:pPr>
        <w:pStyle w:val="132"/>
        <w:framePr w:hSpace="0" w:vSpace="0" w:wrap="auto" w:vAnchor="margin" w:hAnchor="text" w:yAlign="inline"/>
        <w:tabs>
          <w:tab w:val="left" w:pos="9360"/>
        </w:tabs>
        <w:ind w:left="-420" w:leftChars="-200" w:firstLine="420" w:firstLineChars="200"/>
        <w:outlineLvl w:val="0"/>
        <w:rPr>
          <w:rFonts w:ascii="Times New Roman" w:eastAsia="宋体"/>
        </w:rPr>
      </w:pPr>
      <w:r>
        <w:rPr>
          <w:rFonts w:ascii="Times New Roman" w:eastAsia="宋体"/>
        </w:rPr>
        <w:t>CCS XXX</w:t>
      </w:r>
    </w:p>
    <w:p w14:paraId="3894AA25">
      <w:pPr>
        <w:rPr>
          <w:rFonts w:hint="eastAsia" w:ascii="宋体" w:hAnsi="宋体"/>
          <w:sz w:val="32"/>
          <w:szCs w:val="20"/>
        </w:rPr>
      </w:pPr>
    </w:p>
    <w:p w14:paraId="3A502CD3">
      <w:pPr>
        <w:ind w:firstLine="242" w:firstLineChars="23"/>
        <w:jc w:val="center"/>
        <w:rPr>
          <w:rFonts w:hint="eastAsia" w:ascii="黑体" w:hAnsi="黑体" w:eastAsia="黑体"/>
          <w:b/>
          <w:bCs/>
          <w:snapToGrid w:val="0"/>
          <w:spacing w:val="164"/>
          <w:kern w:val="0"/>
          <w:sz w:val="72"/>
          <w:szCs w:val="72"/>
        </w:rPr>
      </w:pPr>
      <w:r>
        <w:rPr>
          <w:rFonts w:hint="eastAsia" w:ascii="黑体" w:hAnsi="黑体" w:eastAsia="黑体"/>
          <w:b/>
          <w:bCs/>
          <w:snapToGrid w:val="0"/>
          <w:spacing w:val="164"/>
          <w:kern w:val="0"/>
          <w:sz w:val="72"/>
          <w:szCs w:val="72"/>
        </w:rPr>
        <w:t>团 体 标 准</w:t>
      </w:r>
    </w:p>
    <w:p w14:paraId="30D47D42">
      <w:pPr>
        <w:wordWrap w:val="0"/>
        <w:ind w:firstLine="3080" w:firstLineChars="1100"/>
        <w:jc w:val="right"/>
        <w:rPr>
          <w:rFonts w:eastAsia="黑体"/>
          <w:sz w:val="28"/>
          <w:szCs w:val="28"/>
        </w:rPr>
      </w:pPr>
      <w:r>
        <w:rPr>
          <w:rFonts w:eastAsia="黑体"/>
          <w:sz w:val="28"/>
          <w:szCs w:val="28"/>
        </w:rPr>
        <w:t>T/CCOA</w:t>
      </w:r>
      <w:r>
        <w:rPr>
          <w:rFonts w:hint="eastAsia" w:eastAsia="黑体"/>
          <w:sz w:val="28"/>
          <w:szCs w:val="28"/>
        </w:rPr>
        <w:t xml:space="preserve"> </w:t>
      </w:r>
      <w:r>
        <w:rPr>
          <w:rFonts w:eastAsia="黑体"/>
          <w:sz w:val="28"/>
          <w:szCs w:val="28"/>
        </w:rPr>
        <w:t>×××—××××</w:t>
      </w:r>
    </w:p>
    <w:p w14:paraId="62D62850">
      <w:pPr>
        <w:ind w:firstLine="46" w:firstLineChars="23"/>
        <w:jc w:val="right"/>
        <w:rPr>
          <w:rFonts w:eastAsia="黑体"/>
          <w:b/>
          <w:bCs/>
          <w:spacing w:val="164"/>
          <w:sz w:val="28"/>
          <w:szCs w:val="28"/>
        </w:rPr>
      </w:pPr>
      <w:r>
        <w:rPr>
          <w:rFonts w:ascii="宋体" w:hAnsi="宋体"/>
          <w:b/>
          <w:bCs/>
          <w:sz w:val="20"/>
          <w:szCs w:val="20"/>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350520</wp:posOffset>
                </wp:positionV>
                <wp:extent cx="5819775" cy="0"/>
                <wp:effectExtent l="0" t="4445" r="0" b="5080"/>
                <wp:wrapNone/>
                <wp:docPr id="2" name="Line 3"/>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0.05pt;margin-top:27.6pt;height:0pt;width:458.25pt;z-index:251660288;mso-width-relative:page;mso-height-relative:page;" filled="f" stroked="t" coordsize="21600,21600" o:gfxdata="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LGPfjUAAAABwEAAA8AAAAAAAAAAQAgAAAAIgAAAGRycy9kb3du&#10;cmV2LnhtbFBLAQIUABQAAAAIAIdO4kC1Zh04ygEAAJ8DAAAOAAAAAAAAAAEAIAAAACMBAABkcnMv&#10;ZTJvRG9jLnhtbFBLBQYAAAAABgAGAFkBAABfBQAAAAA=&#10;">
                <v:fill on="f" focussize="0,0"/>
                <v:stroke color="#000000" joinstyle="round"/>
                <v:imagedata o:title=""/>
                <o:lock v:ext="edit" aspectratio="f"/>
              </v:line>
            </w:pict>
          </mc:Fallback>
        </mc:AlternateContent>
      </w:r>
    </w:p>
    <w:p w14:paraId="4CD56F03">
      <w:pPr>
        <w:spacing w:line="240" w:lineRule="exact"/>
        <w:ind w:firstLine="883"/>
        <w:rPr>
          <w:rFonts w:hint="eastAsia" w:ascii="宋体" w:hAnsi="宋体"/>
          <w:b/>
          <w:bCs/>
          <w:sz w:val="44"/>
          <w:szCs w:val="20"/>
        </w:rPr>
      </w:pPr>
    </w:p>
    <w:p w14:paraId="331099C9">
      <w:pPr>
        <w:ind w:firstLine="1040"/>
        <w:rPr>
          <w:rFonts w:hint="eastAsia" w:ascii="宋体" w:hAnsi="宋体"/>
          <w:sz w:val="52"/>
          <w:szCs w:val="20"/>
        </w:rPr>
      </w:pPr>
    </w:p>
    <w:p w14:paraId="1EE889BD">
      <w:pPr>
        <w:spacing w:line="800" w:lineRule="exact"/>
        <w:ind w:firstLine="1040"/>
        <w:rPr>
          <w:rFonts w:hint="eastAsia" w:ascii="宋体" w:hAnsi="宋体"/>
          <w:sz w:val="52"/>
          <w:szCs w:val="20"/>
        </w:rPr>
      </w:pPr>
    </w:p>
    <w:p w14:paraId="5EBAD889">
      <w:pPr>
        <w:spacing w:line="1000" w:lineRule="exact"/>
        <w:jc w:val="center"/>
        <w:outlineLvl w:val="0"/>
        <w:rPr>
          <w:rFonts w:hint="eastAsia" w:ascii="黑体" w:hAnsi="宋体" w:eastAsia="黑体"/>
          <w:b/>
          <w:bCs/>
          <w:sz w:val="52"/>
          <w:szCs w:val="20"/>
        </w:rPr>
      </w:pPr>
      <w:r>
        <w:rPr>
          <w:rFonts w:hint="eastAsia" w:ascii="黑体" w:hAnsi="宋体" w:eastAsia="黑体"/>
          <w:b/>
          <w:bCs/>
          <w:sz w:val="52"/>
          <w:szCs w:val="20"/>
        </w:rPr>
        <w:t>粮食中总淀粉含量的测定-双酶法</w:t>
      </w:r>
    </w:p>
    <w:p w14:paraId="267AA5BF">
      <w:pPr>
        <w:spacing w:line="1000" w:lineRule="exact"/>
        <w:jc w:val="center"/>
        <w:rPr>
          <w:rFonts w:ascii="楷体_GB2312" w:eastAsia="楷体_GB2312"/>
          <w:b/>
          <w:snapToGrid w:val="0"/>
          <w:kern w:val="0"/>
          <w:sz w:val="30"/>
          <w:szCs w:val="30"/>
        </w:rPr>
      </w:pPr>
      <w:r>
        <w:rPr>
          <w:rFonts w:eastAsia="黑体"/>
          <w:b/>
          <w:bCs/>
          <w:sz w:val="28"/>
          <w:szCs w:val="20"/>
        </w:rPr>
        <w:t>Determination of total starch content in grains - Double enzyme method</w:t>
      </w:r>
      <w:r>
        <w:rPr>
          <w:rFonts w:hint="eastAsia" w:ascii="楷体_GB2312" w:eastAsia="楷体_GB2312"/>
          <w:b/>
          <w:snapToGrid w:val="0"/>
          <w:kern w:val="0"/>
          <w:sz w:val="30"/>
          <w:szCs w:val="30"/>
        </w:rPr>
        <w:t>（征求意见稿）</w:t>
      </w:r>
    </w:p>
    <w:p w14:paraId="4A355E03">
      <w:pPr>
        <w:spacing w:line="800" w:lineRule="exact"/>
        <w:ind w:firstLine="1040"/>
        <w:rPr>
          <w:sz w:val="52"/>
        </w:rPr>
      </w:pPr>
    </w:p>
    <w:p w14:paraId="7C6479D2">
      <w:pPr>
        <w:spacing w:line="400" w:lineRule="exact"/>
        <w:ind w:firstLine="1040"/>
        <w:rPr>
          <w:sz w:val="52"/>
        </w:rPr>
      </w:pPr>
    </w:p>
    <w:p w14:paraId="35A25A3C">
      <w:pPr>
        <w:spacing w:line="400" w:lineRule="exact"/>
        <w:ind w:firstLine="1040"/>
        <w:rPr>
          <w:sz w:val="52"/>
        </w:rPr>
      </w:pPr>
    </w:p>
    <w:p w14:paraId="306C8DD5">
      <w:pPr>
        <w:spacing w:line="400" w:lineRule="exact"/>
        <w:ind w:firstLine="1040"/>
        <w:rPr>
          <w:sz w:val="52"/>
        </w:rPr>
      </w:pPr>
    </w:p>
    <w:p w14:paraId="4F89FCA5">
      <w:pPr>
        <w:spacing w:line="400" w:lineRule="exact"/>
      </w:pPr>
    </w:p>
    <w:p w14:paraId="7BAE1EBA">
      <w:pPr>
        <w:spacing w:line="400" w:lineRule="exact"/>
        <w:ind w:firstLine="420"/>
      </w:pPr>
    </w:p>
    <w:p w14:paraId="61DDCF23">
      <w:pPr>
        <w:spacing w:line="280" w:lineRule="exact"/>
        <w:ind w:firstLine="562" w:firstLineChars="200"/>
        <w:rPr>
          <w:rFonts w:ascii="黑体" w:eastAsia="黑体"/>
          <w:b/>
          <w:bCs/>
          <w:sz w:val="28"/>
          <w:szCs w:val="20"/>
        </w:rPr>
      </w:pPr>
      <w:r>
        <w:rPr>
          <w:rFonts w:hint="eastAsia" w:ascii="黑体" w:eastAsia="黑体"/>
          <w:b/>
          <w:bCs/>
          <w:sz w:val="28"/>
          <w:szCs w:val="20"/>
        </w:rPr>
        <w:t>20XX</w:t>
      </w:r>
      <w:r>
        <w:rPr>
          <w:rFonts w:hint="eastAsia" w:ascii="黑体" w:hAnsi="宋体" w:eastAsia="黑体"/>
          <w:b/>
          <w:bCs/>
          <w:sz w:val="28"/>
          <w:szCs w:val="20"/>
        </w:rPr>
        <w:t>-</w:t>
      </w:r>
      <w:r>
        <w:rPr>
          <w:rFonts w:hint="eastAsia" w:ascii="黑体" w:eastAsia="黑体"/>
          <w:b/>
          <w:bCs/>
          <w:sz w:val="28"/>
          <w:szCs w:val="20"/>
        </w:rPr>
        <w:t>XX</w:t>
      </w:r>
      <w:r>
        <w:rPr>
          <w:rFonts w:hint="eastAsia" w:ascii="黑体" w:hAnsi="宋体" w:eastAsia="黑体"/>
          <w:b/>
          <w:bCs/>
          <w:sz w:val="28"/>
          <w:szCs w:val="20"/>
        </w:rPr>
        <w:t>-</w:t>
      </w:r>
      <w:r>
        <w:rPr>
          <w:rFonts w:hint="eastAsia" w:ascii="黑体" w:eastAsia="黑体"/>
          <w:b/>
          <w:bCs/>
          <w:sz w:val="28"/>
          <w:szCs w:val="20"/>
        </w:rPr>
        <w:t>XX</w:t>
      </w:r>
      <w:r>
        <w:rPr>
          <w:rFonts w:hint="eastAsia" w:ascii="黑体" w:hAnsi="宋体" w:eastAsia="黑体"/>
          <w:b/>
          <w:bCs/>
          <w:sz w:val="18"/>
          <w:szCs w:val="20"/>
        </w:rPr>
        <w:t xml:space="preserve"> </w:t>
      </w:r>
      <w:r>
        <w:rPr>
          <w:rFonts w:hint="eastAsia" w:ascii="黑体" w:hAnsi="宋体" w:eastAsia="黑体"/>
          <w:b/>
          <w:bCs/>
          <w:sz w:val="28"/>
          <w:szCs w:val="20"/>
        </w:rPr>
        <w:t xml:space="preserve">发布                             </w:t>
      </w:r>
      <w:r>
        <w:rPr>
          <w:rFonts w:hint="eastAsia" w:ascii="黑体" w:eastAsia="黑体"/>
          <w:b/>
          <w:bCs/>
          <w:sz w:val="28"/>
          <w:szCs w:val="20"/>
        </w:rPr>
        <w:t>20XX</w:t>
      </w:r>
      <w:r>
        <w:rPr>
          <w:rFonts w:hint="eastAsia" w:ascii="黑体" w:hAnsi="宋体" w:eastAsia="黑体"/>
          <w:b/>
          <w:bCs/>
          <w:sz w:val="28"/>
          <w:szCs w:val="20"/>
        </w:rPr>
        <w:t>-</w:t>
      </w:r>
      <w:r>
        <w:rPr>
          <w:rFonts w:hint="eastAsia" w:ascii="黑体" w:eastAsia="黑体"/>
          <w:b/>
          <w:bCs/>
          <w:sz w:val="28"/>
          <w:szCs w:val="20"/>
        </w:rPr>
        <w:t>XX</w:t>
      </w:r>
      <w:r>
        <w:rPr>
          <w:rFonts w:hint="eastAsia" w:ascii="黑体" w:hAnsi="宋体" w:eastAsia="黑体"/>
          <w:b/>
          <w:bCs/>
          <w:sz w:val="28"/>
          <w:szCs w:val="20"/>
        </w:rPr>
        <w:t>-</w:t>
      </w:r>
      <w:r>
        <w:rPr>
          <w:rFonts w:hint="eastAsia" w:ascii="黑体" w:eastAsia="黑体"/>
          <w:b/>
          <w:bCs/>
          <w:sz w:val="28"/>
          <w:szCs w:val="20"/>
        </w:rPr>
        <w:t>XX</w:t>
      </w:r>
      <w:r>
        <w:rPr>
          <w:rFonts w:hint="eastAsia" w:ascii="黑体" w:hAnsi="宋体" w:eastAsia="黑体"/>
          <w:b/>
          <w:bCs/>
          <w:sz w:val="28"/>
          <w:szCs w:val="20"/>
        </w:rPr>
        <w:t>实施</w:t>
      </w:r>
    </w:p>
    <w:p w14:paraId="15605E70">
      <w:pPr>
        <w:spacing w:line="280" w:lineRule="exact"/>
        <w:ind w:firstLine="400"/>
        <w:rPr>
          <w:rFonts w:ascii="黑体" w:eastAsia="黑体"/>
          <w:sz w:val="28"/>
          <w:szCs w:val="20"/>
        </w:rPr>
      </w:pPr>
      <w:r>
        <w:rPr>
          <w:rFonts w:ascii="黑体" w:eastAsia="黑体"/>
          <w:sz w:val="20"/>
          <w:szCs w:val="20"/>
        </w:rPr>
        <mc:AlternateContent>
          <mc:Choice Requires="wps">
            <w:drawing>
              <wp:anchor distT="0" distB="0" distL="114300" distR="114300" simplePos="0" relativeHeight="251661312" behindDoc="0" locked="0" layoutInCell="1" allowOverlap="1">
                <wp:simplePos x="0" y="0"/>
                <wp:positionH relativeFrom="column">
                  <wp:posOffset>211455</wp:posOffset>
                </wp:positionH>
                <wp:positionV relativeFrom="paragraph">
                  <wp:posOffset>61595</wp:posOffset>
                </wp:positionV>
                <wp:extent cx="5457825" cy="0"/>
                <wp:effectExtent l="0" t="4445" r="0" b="5080"/>
                <wp:wrapNone/>
                <wp:docPr id="3" name="Line 5"/>
                <wp:cNvGraphicFramePr/>
                <a:graphic xmlns:a="http://schemas.openxmlformats.org/drawingml/2006/main">
                  <a:graphicData uri="http://schemas.microsoft.com/office/word/2010/wordprocessingShape">
                    <wps:wsp>
                      <wps:cNvCnPr>
                        <a:cxnSpLocks noChangeShapeType="1"/>
                      </wps:cNvCnPr>
                      <wps:spPr bwMode="auto">
                        <a:xfrm>
                          <a:off x="0" y="0"/>
                          <a:ext cx="5457825" cy="0"/>
                        </a:xfrm>
                        <a:prstGeom prst="line">
                          <a:avLst/>
                        </a:prstGeom>
                        <a:noFill/>
                        <a:ln w="9525">
                          <a:solidFill>
                            <a:srgbClr val="000000"/>
                          </a:solidFill>
                          <a:round/>
                        </a:ln>
                      </wps:spPr>
                      <wps:bodyPr/>
                    </wps:wsp>
                  </a:graphicData>
                </a:graphic>
              </wp:anchor>
            </w:drawing>
          </mc:Choice>
          <mc:Fallback>
            <w:pict>
              <v:line id="Line 5" o:spid="_x0000_s1026" o:spt="20" style="position:absolute;left:0pt;margin-left:16.65pt;margin-top:4.85pt;height:0pt;width:429.75pt;z-index:251661312;mso-width-relative:page;mso-height-relative:page;" filled="f" stroked="t" coordsize="21600,21600" o:gfxdata="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Q/mH7UAAAABgEAAA8AAAAAAAAAAQAgAAAAIgAAAGRycy9kb3ducmV2&#10;LnhtbFBLAQIUABQAAAAIAIdO4kALaRebxwEAAJ8DAAAOAAAAAAAAAAEAIAAAACMBAABkcnMvZTJv&#10;RG9jLnhtbFBLBQYAAAAABgAGAFkBAABcBQAAAAA=&#10;">
                <v:fill on="f" focussize="0,0"/>
                <v:stroke color="#000000" joinstyle="round"/>
                <v:imagedata o:title=""/>
                <o:lock v:ext="edit" aspectratio="f"/>
              </v:line>
            </w:pict>
          </mc:Fallback>
        </mc:AlternateContent>
      </w:r>
    </w:p>
    <w:p w14:paraId="2D13B7AB">
      <w:pPr>
        <w:ind w:firstLine="3002" w:firstLineChars="1071"/>
        <w:textAlignment w:val="center"/>
        <w:rPr>
          <w:rFonts w:eastAsia="黑体"/>
          <w:sz w:val="28"/>
          <w:szCs w:val="28"/>
        </w:rPr>
      </w:pPr>
      <w:r>
        <w:rPr>
          <w:rFonts w:hint="eastAsia" w:ascii="华文中宋" w:hAnsi="华文中宋" w:eastAsia="华文中宋"/>
          <w:b/>
          <w:bCs/>
          <w:sz w:val="28"/>
          <w:szCs w:val="20"/>
        </w:rPr>
        <w:t xml:space="preserve">中国粮油学会  </w:t>
      </w:r>
      <w:r>
        <w:rPr>
          <w:rFonts w:hint="eastAsia" w:eastAsia="黑体"/>
          <w:sz w:val="28"/>
          <w:szCs w:val="28"/>
        </w:rPr>
        <w:t>发布</w:t>
      </w:r>
      <w:bookmarkEnd w:id="3"/>
      <w:bookmarkEnd w:id="4"/>
    </w:p>
    <w:p w14:paraId="6879F1D0">
      <w:pPr>
        <w:pStyle w:val="121"/>
        <w:spacing w:before="851" w:after="680"/>
        <w:rPr>
          <w:rFonts w:ascii="Times New Roman"/>
          <w:color w:val="000000" w:themeColor="text1"/>
          <w14:textFill>
            <w14:solidFill>
              <w14:schemeClr w14:val="tx1"/>
            </w14:solidFill>
          </w14:textFill>
        </w:rPr>
      </w:pPr>
      <w:bookmarkStart w:id="5" w:name="_Toc110269144"/>
      <w:bookmarkStart w:id="6" w:name="_Toc381782041"/>
      <w:r>
        <w:rPr>
          <w:rFonts w:ascii="Times New Roman"/>
          <w:color w:val="000000" w:themeColor="text1"/>
          <w14:textFill>
            <w14:solidFill>
              <w14:schemeClr w14:val="tx1"/>
            </w14:solidFill>
          </w14:textFill>
        </w:rPr>
        <w:t>前</w:t>
      </w:r>
      <w:bookmarkStart w:id="7" w:name="BKQY"/>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t> 言</w:t>
      </w:r>
      <w:bookmarkEnd w:id="5"/>
      <w:bookmarkEnd w:id="7"/>
    </w:p>
    <w:p w14:paraId="293E9879">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本文件按照GB/T</w:t>
      </w:r>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t>1.1—2020《标准化工作导则</w:t>
      </w:r>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t>第1部分：标准化文件的结构和起草规则》的规定起草。</w:t>
      </w:r>
    </w:p>
    <w:p w14:paraId="616C209D">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请注意本文件的某些内容可能涉及专利。本文件的发布机构不承担识别专利的责任。</w:t>
      </w:r>
    </w:p>
    <w:p w14:paraId="0C2C0BE4">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本文件由</w:t>
      </w:r>
      <w:r>
        <w:rPr>
          <w:rFonts w:hint="eastAsia" w:ascii="Times New Roman"/>
          <w:color w:val="000000" w:themeColor="text1"/>
          <w14:textFill>
            <w14:solidFill>
              <w14:schemeClr w14:val="tx1"/>
            </w14:solidFill>
          </w14:textFill>
        </w:rPr>
        <w:t>中国粮油学会提出并归口</w:t>
      </w:r>
      <w:r>
        <w:rPr>
          <w:rFonts w:ascii="Times New Roman"/>
          <w:color w:val="000000" w:themeColor="text1"/>
          <w14:textFill>
            <w14:solidFill>
              <w14:schemeClr w14:val="tx1"/>
            </w14:solidFill>
          </w14:textFill>
        </w:rPr>
        <w:t>。</w:t>
      </w:r>
    </w:p>
    <w:p w14:paraId="10D0F00A">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本文件起草单位：</w:t>
      </w:r>
      <w:r>
        <w:rPr>
          <w:rFonts w:hint="eastAsia" w:ascii="Times New Roman"/>
          <w:color w:val="000000" w:themeColor="text1"/>
          <w14:textFill>
            <w14:solidFill>
              <w14:schemeClr w14:val="tx1"/>
            </w14:solidFill>
          </w14:textFill>
        </w:rPr>
        <w:t>河南工业大学、河南华测检测技术有限公司、中原食品实验室、河南飞天农业开发股份有限公司、郸城县正星粉业有限公司。</w:t>
      </w:r>
    </w:p>
    <w:p w14:paraId="3A956AAD">
      <w:pPr>
        <w:pStyle w:val="28"/>
        <w:rPr>
          <w:rFonts w:hint="eastAsia" w:ascii="Times New Roman" w:eastAsia="宋体"/>
          <w:color w:val="000000" w:themeColor="text1"/>
          <w:lang w:val="en-US" w:eastAsia="zh-CN"/>
          <w14:textFill>
            <w14:solidFill>
              <w14:schemeClr w14:val="tx1"/>
            </w14:solidFill>
          </w14:textFill>
        </w:rPr>
      </w:pPr>
      <w:r>
        <w:rPr>
          <w:rFonts w:ascii="Times New Roman"/>
          <w:color w:val="000000" w:themeColor="text1"/>
          <w14:textFill>
            <w14:solidFill>
              <w14:schemeClr w14:val="tx1"/>
            </w14:solidFill>
          </w14:textFill>
        </w:rPr>
        <w:t>本文件主要起草人：</w:t>
      </w:r>
      <w:r>
        <w:rPr>
          <w:rFonts w:hint="eastAsia" w:ascii="Times New Roman"/>
          <w:color w:val="000000" w:themeColor="text1"/>
          <w14:textFill>
            <w14:solidFill>
              <w14:schemeClr w14:val="tx1"/>
            </w14:solidFill>
          </w14:textFill>
        </w:rPr>
        <w:t>赵仁勇、田双起、王新伟、</w:t>
      </w:r>
      <w:r>
        <w:rPr>
          <w:rFonts w:hint="eastAsia" w:ascii="Times New Roman"/>
          <w:color w:val="000000" w:themeColor="text1"/>
          <w:lang w:val="en-US" w:eastAsia="zh-CN"/>
          <w14:textFill>
            <w14:solidFill>
              <w14:schemeClr w14:val="tx1"/>
            </w14:solidFill>
          </w14:textFill>
        </w:rPr>
        <w:t>刘战朋、</w:t>
      </w:r>
      <w:r>
        <w:rPr>
          <w:rFonts w:hint="eastAsia" w:ascii="Times New Roman"/>
          <w:color w:val="000000" w:themeColor="text1"/>
          <w14:textFill>
            <w14:solidFill>
              <w14:schemeClr w14:val="tx1"/>
            </w14:solidFill>
          </w14:textFill>
        </w:rPr>
        <w:t>蒋洪新、秦学磊、谭斌、董得平、朱合章。</w:t>
      </w:r>
      <w:r>
        <w:rPr>
          <w:rFonts w:hint="eastAsia" w:ascii="Times New Roman"/>
          <w:color w:val="000000" w:themeColor="text1"/>
          <w:lang w:val="en-US" w:eastAsia="zh-CN"/>
          <w14:textFill>
            <w14:solidFill>
              <w14:schemeClr w14:val="tx1"/>
            </w14:solidFill>
          </w14:textFill>
        </w:rPr>
        <w:t xml:space="preserve"> </w:t>
      </w:r>
    </w:p>
    <w:p w14:paraId="112A4DC9">
      <w:pPr>
        <w:pStyle w:val="28"/>
        <w:rPr>
          <w:rFonts w:ascii="Times New Roman"/>
          <w:color w:val="000000" w:themeColor="text1"/>
          <w14:textFill>
            <w14:solidFill>
              <w14:schemeClr w14:val="tx1"/>
            </w14:solidFill>
          </w14:textFill>
        </w:rPr>
      </w:pPr>
    </w:p>
    <w:p w14:paraId="1EF6D0D1">
      <w:pPr>
        <w:pStyle w:val="28"/>
        <w:rPr>
          <w:rFonts w:ascii="Times New Roman"/>
          <w:color w:val="000000" w:themeColor="text1"/>
          <w14:textFill>
            <w14:solidFill>
              <w14:schemeClr w14:val="tx1"/>
            </w14:solidFill>
          </w14:textFill>
        </w:rPr>
      </w:pPr>
    </w:p>
    <w:p w14:paraId="7DB5AF9F">
      <w:pPr>
        <w:pStyle w:val="28"/>
        <w:tabs>
          <w:tab w:val="center" w:pos="4887"/>
          <w:tab w:val="clear" w:pos="4201"/>
          <w:tab w:val="clear" w:pos="9298"/>
        </w:tabs>
        <w:rPr>
          <w:rFonts w:ascii="Times New Roman"/>
          <w:color w:val="000000" w:themeColor="text1"/>
          <w14:textFill>
            <w14:solidFill>
              <w14:schemeClr w14:val="tx1"/>
            </w14:solidFill>
          </w14:textFill>
        </w:rPr>
        <w:sectPr>
          <w:headerReference r:id="rId3" w:type="default"/>
          <w:footerReference r:id="rId4" w:type="default"/>
          <w:footerReference r:id="rId5" w:type="even"/>
          <w:pgSz w:w="11906" w:h="16838"/>
          <w:pgMar w:top="1701" w:right="1531" w:bottom="1531" w:left="1531" w:header="1134" w:footer="680" w:gutter="0"/>
          <w:pgNumType w:start="1"/>
          <w:cols w:space="425" w:num="1"/>
          <w:docGrid w:type="lines" w:linePitch="312" w:charSpace="0"/>
        </w:sectPr>
      </w:pPr>
      <w:r>
        <w:rPr>
          <w:rFonts w:ascii="Times New Roman"/>
          <w:color w:val="000000" w:themeColor="text1"/>
          <w14:textFill>
            <w14:solidFill>
              <w14:schemeClr w14:val="tx1"/>
            </w14:solidFill>
          </w14:textFill>
        </w:rPr>
        <w:tab/>
      </w:r>
    </w:p>
    <w:bookmarkEnd w:id="6"/>
    <w:p w14:paraId="3E1F74D4">
      <w:pPr>
        <w:pStyle w:val="59"/>
        <w:spacing w:before="680" w:after="454"/>
        <w:outlineLvl w:val="9"/>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粮食中总淀粉含量的测定-双酶法</w:t>
      </w:r>
    </w:p>
    <w:p w14:paraId="57D1AB7A">
      <w:pPr>
        <w:pStyle w:val="54"/>
        <w:spacing w:before="312" w:after="312"/>
        <w:ind w:left="0" w:firstLine="420" w:firstLineChars="200"/>
        <w:rPr>
          <w:rFonts w:ascii="Times New Roman"/>
          <w:color w:val="000000" w:themeColor="text1"/>
          <w14:textFill>
            <w14:solidFill>
              <w14:schemeClr w14:val="tx1"/>
            </w14:solidFill>
          </w14:textFill>
        </w:rPr>
      </w:pPr>
      <w:bookmarkStart w:id="8" w:name="_Toc467490521"/>
      <w:bookmarkStart w:id="9" w:name="_Toc110269145"/>
      <w:bookmarkStart w:id="10" w:name="_Toc467490522"/>
      <w:r>
        <w:rPr>
          <w:rFonts w:ascii="Times New Roman"/>
          <w:color w:val="000000" w:themeColor="text1"/>
          <w14:textFill>
            <w14:solidFill>
              <w14:schemeClr w14:val="tx1"/>
            </w14:solidFill>
          </w14:textFill>
        </w:rPr>
        <w:t>范围</w:t>
      </w:r>
      <w:bookmarkEnd w:id="8"/>
      <w:bookmarkEnd w:id="9"/>
    </w:p>
    <w:p w14:paraId="21AC4595">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本文件规定了双酶法测定粮食中总淀粉含量的原理、试剂、仪器与设备、分析步骤、结果计算和精密度。</w:t>
      </w:r>
    </w:p>
    <w:p w14:paraId="68F62BEF">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本文件适用于粮食中总淀粉含量的测定。</w:t>
      </w:r>
    </w:p>
    <w:p w14:paraId="4700629D">
      <w:pPr>
        <w:pStyle w:val="54"/>
        <w:spacing w:before="312" w:after="312"/>
        <w:ind w:left="0" w:firstLine="420" w:firstLineChars="200"/>
        <w:rPr>
          <w:rFonts w:ascii="Times New Roman"/>
          <w:color w:val="000000" w:themeColor="text1"/>
          <w14:textFill>
            <w14:solidFill>
              <w14:schemeClr w14:val="tx1"/>
            </w14:solidFill>
          </w14:textFill>
        </w:rPr>
      </w:pPr>
      <w:bookmarkStart w:id="11" w:name="_Toc110269146"/>
      <w:r>
        <w:rPr>
          <w:rFonts w:ascii="Times New Roman"/>
          <w:color w:val="000000" w:themeColor="text1"/>
          <w14:textFill>
            <w14:solidFill>
              <w14:schemeClr w14:val="tx1"/>
            </w14:solidFill>
          </w14:textFill>
        </w:rPr>
        <w:t>规范性引用文件</w:t>
      </w:r>
      <w:bookmarkEnd w:id="11"/>
    </w:p>
    <w:sdt>
      <w:sdtPr>
        <w:rPr>
          <w:rFonts w:hint="eastAsia"/>
          <w:color w:val="000000" w:themeColor="text1"/>
          <w14:textFill>
            <w14:solidFill>
              <w14:schemeClr w14:val="tx1"/>
            </w14:solidFill>
          </w14:textFill>
        </w:rPr>
        <w:id w:val="715848253"/>
        <w:placeholder>
          <w:docPart w:val="{b5a392e5-bdbf-4d91-947d-906e2a49dcc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14:textFill>
            <w14:solidFill>
              <w14:schemeClr w14:val="tx1"/>
            </w14:solidFill>
          </w14:textFill>
        </w:rPr>
      </w:sdtEndPr>
      <w:sdtContent>
        <w:p w14:paraId="74D4055C">
          <w:pPr>
            <w:pStyle w:val="182"/>
            <w:spacing w:line="276" w:lineRule="auto"/>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4DEA2F2">
      <w:pPr>
        <w:pStyle w:val="179"/>
        <w:rPr>
          <w:rFonts w:ascii="Times New Roman" w:hAnsi="Times New Roman" w:cs="Times New Roman"/>
          <w:color w:val="000000" w:themeColor="text1"/>
          <w:kern w:val="0"/>
          <w14:textFill>
            <w14:solidFill>
              <w14:schemeClr w14:val="tx1"/>
            </w14:solidFill>
          </w14:textFill>
        </w:rPr>
      </w:pPr>
      <w:r>
        <w:rPr>
          <w:rFonts w:hint="eastAsia" w:ascii="Times New Roman" w:hAnsi="Times New Roman" w:cs="Times New Roman"/>
          <w:color w:val="000000" w:themeColor="text1"/>
          <w:kern w:val="0"/>
          <w14:textFill>
            <w14:solidFill>
              <w14:schemeClr w14:val="tx1"/>
            </w14:solidFill>
          </w14:textFill>
        </w:rPr>
        <w:t>GB/T 6882  分析实验室用水规格和试验方法。</w:t>
      </w:r>
    </w:p>
    <w:bookmarkEnd w:id="10"/>
    <w:p w14:paraId="6C1DCF97">
      <w:pPr>
        <w:pStyle w:val="54"/>
        <w:spacing w:before="312" w:after="312"/>
        <w:ind w:left="0" w:firstLine="420" w:firstLineChars="200"/>
        <w:rPr>
          <w:rFonts w:ascii="Times New Roman"/>
          <w:color w:val="000000" w:themeColor="text1"/>
          <w14:textFill>
            <w14:solidFill>
              <w14:schemeClr w14:val="tx1"/>
            </w14:solidFill>
          </w14:textFill>
        </w:rPr>
      </w:pPr>
      <w:bookmarkStart w:id="12" w:name="_Toc110254221"/>
      <w:bookmarkEnd w:id="12"/>
      <w:bookmarkStart w:id="13" w:name="_Toc110254529"/>
      <w:bookmarkEnd w:id="13"/>
      <w:bookmarkStart w:id="14" w:name="_Toc110269147"/>
      <w:bookmarkEnd w:id="14"/>
      <w:bookmarkStart w:id="15" w:name="_Toc110269150"/>
      <w:bookmarkEnd w:id="15"/>
      <w:bookmarkStart w:id="16" w:name="_Toc110254235"/>
      <w:bookmarkEnd w:id="16"/>
      <w:bookmarkStart w:id="17" w:name="_Toc110254539"/>
      <w:bookmarkEnd w:id="17"/>
      <w:bookmarkStart w:id="18" w:name="_Toc110254225"/>
      <w:bookmarkEnd w:id="18"/>
      <w:bookmarkStart w:id="19" w:name="_Toc110254542"/>
      <w:bookmarkEnd w:id="19"/>
      <w:bookmarkStart w:id="20" w:name="_Toc110254231"/>
      <w:bookmarkEnd w:id="20"/>
      <w:bookmarkStart w:id="21" w:name="_Toc110269159"/>
      <w:bookmarkEnd w:id="21"/>
      <w:bookmarkStart w:id="22" w:name="_Toc110254535"/>
      <w:bookmarkEnd w:id="22"/>
      <w:bookmarkStart w:id="23" w:name="_Toc110269149"/>
      <w:bookmarkEnd w:id="23"/>
      <w:bookmarkStart w:id="24" w:name="_Toc110254230"/>
      <w:bookmarkEnd w:id="24"/>
      <w:bookmarkStart w:id="25" w:name="_Toc110254537"/>
      <w:bookmarkEnd w:id="25"/>
      <w:bookmarkStart w:id="26" w:name="_Toc110254532"/>
      <w:bookmarkEnd w:id="26"/>
      <w:bookmarkStart w:id="27" w:name="_Toc110254227"/>
      <w:bookmarkEnd w:id="27"/>
      <w:bookmarkStart w:id="28" w:name="_Toc110254531"/>
      <w:bookmarkEnd w:id="28"/>
      <w:bookmarkStart w:id="29" w:name="_Toc110254226"/>
      <w:bookmarkEnd w:id="29"/>
      <w:bookmarkStart w:id="30" w:name="_Toc110254223"/>
      <w:bookmarkEnd w:id="30"/>
      <w:bookmarkStart w:id="31" w:name="_Toc110269160"/>
      <w:bookmarkEnd w:id="31"/>
      <w:bookmarkStart w:id="32" w:name="_Toc110269161"/>
      <w:bookmarkEnd w:id="32"/>
      <w:bookmarkStart w:id="33" w:name="_Toc110254533"/>
      <w:bookmarkEnd w:id="33"/>
      <w:bookmarkStart w:id="34" w:name="_Toc110269155"/>
      <w:bookmarkEnd w:id="34"/>
      <w:bookmarkStart w:id="35" w:name="_Toc110254543"/>
      <w:bookmarkEnd w:id="35"/>
      <w:bookmarkStart w:id="36" w:name="_Toc110254228"/>
      <w:bookmarkEnd w:id="36"/>
      <w:bookmarkStart w:id="37" w:name="_Toc110269151"/>
      <w:bookmarkEnd w:id="37"/>
      <w:bookmarkStart w:id="38" w:name="_Toc110269154"/>
      <w:bookmarkEnd w:id="38"/>
      <w:bookmarkStart w:id="39" w:name="_Toc110254534"/>
      <w:bookmarkEnd w:id="39"/>
      <w:bookmarkStart w:id="40" w:name="_Toc110254538"/>
      <w:bookmarkEnd w:id="40"/>
      <w:bookmarkStart w:id="41" w:name="_Toc110254233"/>
      <w:bookmarkEnd w:id="41"/>
      <w:bookmarkStart w:id="42" w:name="_Toc110254541"/>
      <w:bookmarkEnd w:id="42"/>
      <w:bookmarkStart w:id="43" w:name="_Toc110269156"/>
      <w:bookmarkEnd w:id="43"/>
      <w:bookmarkStart w:id="44" w:name="_Toc110254224"/>
      <w:bookmarkEnd w:id="44"/>
      <w:bookmarkStart w:id="45" w:name="_Toc110269157"/>
      <w:bookmarkEnd w:id="45"/>
      <w:bookmarkStart w:id="46" w:name="_Toc110254234"/>
      <w:bookmarkEnd w:id="46"/>
      <w:bookmarkStart w:id="47" w:name="_Toc110269152"/>
      <w:bookmarkEnd w:id="47"/>
      <w:bookmarkStart w:id="48" w:name="_Toc110254536"/>
      <w:bookmarkEnd w:id="48"/>
      <w:bookmarkStart w:id="49" w:name="_Toc110254229"/>
      <w:bookmarkEnd w:id="49"/>
      <w:bookmarkStart w:id="50" w:name="_Toc110269153"/>
      <w:bookmarkEnd w:id="50"/>
      <w:bookmarkStart w:id="51" w:name="_Toc110269162"/>
      <w:r>
        <w:rPr>
          <w:rFonts w:ascii="Times New Roman"/>
          <w:color w:val="000000" w:themeColor="text1"/>
          <w14:textFill>
            <w14:solidFill>
              <w14:schemeClr w14:val="tx1"/>
            </w14:solidFill>
          </w14:textFill>
        </w:rPr>
        <w:t>术语和定义</w:t>
      </w:r>
      <w:bookmarkEnd w:id="51"/>
    </w:p>
    <w:p w14:paraId="4EB1BE1A">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下列术语和定义适用于本文件。</w:t>
      </w:r>
    </w:p>
    <w:p w14:paraId="5C004896">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3.1  耐高温α-淀粉酶  High temperature resistant α-amylase</w:t>
      </w:r>
    </w:p>
    <w:p w14:paraId="03A8A4CD">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一类能能水解液态淀粉中的α-1.4糖苷键和α-1.6糖苷键的α-淀粉酶。最适酶解85℃～95℃，通常在80~100℃均可发挥作用。采用诺维信淀粉酶Liquozyme Supra，其纯度为90 KNU/g。</w:t>
      </w:r>
    </w:p>
    <w:p w14:paraId="60098C11">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3.2  α-淀粉酶的活力单位  α-amylase activity unit</w:t>
      </w:r>
    </w:p>
    <w:p w14:paraId="279DE73A">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为液化酶的专有单位，l KNU的定义是指在37℃、pH5.6条件下每小时水解5.26 g淀粉的酶量。</w:t>
      </w:r>
    </w:p>
    <w:p w14:paraId="206527F9">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 xml:space="preserve">3.3  淀粉葡萄糖苷酶  Amyloglucosidase  </w:t>
      </w:r>
    </w:p>
    <w:p w14:paraId="2B40C61D">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糖苷水解酶大家族中的一大类糖化酶，主要功能为水解淀粉葡萄糖苷键，释放出葡萄糖作为产物。采用诺维信淀粉葡萄糖苷酶Suhong GA II，，其纯度为500 AGU/mL。</w:t>
      </w:r>
    </w:p>
    <w:p w14:paraId="0E464DD9">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3.4  葡萄糖苷酶的活力单位  Amyloglucosidase activity unit</w:t>
      </w:r>
    </w:p>
    <w:p w14:paraId="6D57257A">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为糖化酶的专有单位，l AGU的定义是指在25℃、pH4.3标准条件下，每分钟水解1 mmol麦芽糖所需的酶量。</w:t>
      </w:r>
    </w:p>
    <w:p w14:paraId="13D6DB2B">
      <w:pPr>
        <w:pStyle w:val="54"/>
        <w:spacing w:before="312" w:after="312"/>
        <w:ind w:left="0" w:firstLine="420" w:firstLineChars="20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原理</w:t>
      </w:r>
    </w:p>
    <w:p w14:paraId="27566272">
      <w:pPr>
        <w:pStyle w:val="28"/>
      </w:pPr>
      <w:r>
        <w:rPr>
          <w:rFonts w:hint="eastAsia"/>
        </w:rPr>
        <w:t>通过</w:t>
      </w:r>
      <w:r>
        <w:rPr>
          <w:rFonts w:ascii="Times New Roman"/>
        </w:rPr>
        <w:t>耐高温α-淀粉酶和淀粉葡萄糖苷酶的联合作用，将粉碎后的粮食样品中的淀粉水解为葡萄糖，水解液通过0.22 μm滤膜过滤后，转移至液相专用进样瓶中，用HPLC分析葡萄糖含量。</w:t>
      </w:r>
    </w:p>
    <w:p w14:paraId="34A2AD6E">
      <w:pPr>
        <w:pStyle w:val="54"/>
        <w:spacing w:before="312" w:after="312"/>
        <w:ind w:left="0" w:firstLine="420" w:firstLineChars="20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试剂</w:t>
      </w:r>
    </w:p>
    <w:p w14:paraId="544042AB">
      <w:pPr>
        <w:pStyle w:val="28"/>
        <w:rPr>
          <w:rFonts w:ascii="Times New Roman"/>
        </w:rPr>
      </w:pPr>
      <w:r>
        <w:rPr>
          <w:rFonts w:ascii="Times New Roman"/>
        </w:rPr>
        <w:t>除非另有规定，本方法中所用试剂均为分析纯，试验用水为超纯水。</w:t>
      </w:r>
    </w:p>
    <w:p w14:paraId="404A86D8">
      <w:pPr>
        <w:pStyle w:val="28"/>
        <w:rPr>
          <w:rFonts w:ascii="Times New Roman"/>
        </w:rPr>
      </w:pPr>
      <w:r>
        <w:rPr>
          <w:rFonts w:ascii="Times New Roman"/>
        </w:rPr>
        <w:t>5.1 耐高温α-淀粉酶，Liquozyme Supra 90 KNU/g，诺维信中国有限公司</w:t>
      </w:r>
    </w:p>
    <w:p w14:paraId="0623D574">
      <w:pPr>
        <w:pStyle w:val="28"/>
        <w:rPr>
          <w:rFonts w:ascii="Times New Roman"/>
        </w:rPr>
      </w:pPr>
      <w:r>
        <w:rPr>
          <w:rFonts w:ascii="Times New Roman"/>
        </w:rPr>
        <w:t>5.2 淀粉葡萄糖苷酶，Suhong GA II 500 AGU/mL，诺维信中国有限公司</w:t>
      </w:r>
    </w:p>
    <w:p w14:paraId="27C07379">
      <w:pPr>
        <w:pStyle w:val="28"/>
        <w:rPr>
          <w:rFonts w:ascii="Times New Roman"/>
        </w:rPr>
      </w:pPr>
      <w:r>
        <w:rPr>
          <w:rFonts w:ascii="Times New Roman"/>
        </w:rPr>
        <w:t>5.3 乙酸钠溶液</w:t>
      </w:r>
    </w:p>
    <w:p w14:paraId="1D1AA281">
      <w:pPr>
        <w:pStyle w:val="28"/>
        <w:rPr>
          <w:rFonts w:ascii="Times New Roman"/>
        </w:rPr>
      </w:pPr>
      <w:r>
        <w:rPr>
          <w:rFonts w:ascii="Times New Roman"/>
        </w:rPr>
        <w:t>5.4 冰乙酸</w:t>
      </w:r>
    </w:p>
    <w:p w14:paraId="20231E81">
      <w:pPr>
        <w:pStyle w:val="28"/>
        <w:rPr>
          <w:rFonts w:ascii="Times New Roman"/>
        </w:rPr>
      </w:pPr>
      <w:r>
        <w:rPr>
          <w:rFonts w:ascii="Times New Roman"/>
        </w:rPr>
        <w:t>5.5 硫酸：0.005 N H</w:t>
      </w:r>
      <w:r>
        <w:rPr>
          <w:rFonts w:ascii="Times New Roman"/>
          <w:vertAlign w:val="subscript"/>
        </w:rPr>
        <w:t>2</w:t>
      </w:r>
      <w:r>
        <w:rPr>
          <w:rFonts w:ascii="Times New Roman"/>
        </w:rPr>
        <w:t>SO</w:t>
      </w:r>
      <w:r>
        <w:rPr>
          <w:rFonts w:ascii="Times New Roman"/>
          <w:vertAlign w:val="subscript"/>
        </w:rPr>
        <w:t>4</w:t>
      </w:r>
    </w:p>
    <w:p w14:paraId="5FE42043">
      <w:pPr>
        <w:pStyle w:val="54"/>
        <w:spacing w:before="312" w:after="312"/>
        <w:ind w:left="0" w:firstLine="420" w:firstLineChars="20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仪器与设备</w:t>
      </w:r>
    </w:p>
    <w:p w14:paraId="0F2FDAF3">
      <w:pPr>
        <w:pStyle w:val="28"/>
        <w:rPr>
          <w:rFonts w:ascii="Times New Roman"/>
        </w:rPr>
      </w:pPr>
      <w:r>
        <w:rPr>
          <w:rFonts w:ascii="Times New Roman"/>
        </w:rPr>
        <w:t>6.1 分析天平</w:t>
      </w:r>
    </w:p>
    <w:p w14:paraId="39EF4809">
      <w:pPr>
        <w:pStyle w:val="28"/>
        <w:rPr>
          <w:rFonts w:ascii="Times New Roman"/>
        </w:rPr>
      </w:pPr>
      <w:r>
        <w:rPr>
          <w:rFonts w:ascii="Times New Roman"/>
        </w:rPr>
        <w:t>6.2 实验磨粉机</w:t>
      </w:r>
    </w:p>
    <w:p w14:paraId="2BAB5E1B">
      <w:pPr>
        <w:pStyle w:val="28"/>
        <w:rPr>
          <w:rFonts w:ascii="Times New Roman"/>
        </w:rPr>
      </w:pPr>
      <w:r>
        <w:rPr>
          <w:rFonts w:ascii="Times New Roman"/>
        </w:rPr>
        <w:t>6.3 电热鼓风干燥箱</w:t>
      </w:r>
    </w:p>
    <w:p w14:paraId="68460DAB">
      <w:pPr>
        <w:pStyle w:val="28"/>
        <w:rPr>
          <w:rFonts w:ascii="Times New Roman"/>
        </w:rPr>
      </w:pPr>
      <w:r>
        <w:rPr>
          <w:rFonts w:ascii="Times New Roman"/>
        </w:rPr>
        <w:t>6.4 磁力搅拌装置</w:t>
      </w:r>
    </w:p>
    <w:p w14:paraId="62874D7C">
      <w:pPr>
        <w:pStyle w:val="28"/>
        <w:rPr>
          <w:rFonts w:ascii="Times New Roman"/>
        </w:rPr>
      </w:pPr>
      <w:r>
        <w:rPr>
          <w:rFonts w:ascii="Times New Roman"/>
        </w:rPr>
        <w:t>6.5 pH计</w:t>
      </w:r>
    </w:p>
    <w:p w14:paraId="7BB46B41">
      <w:pPr>
        <w:pStyle w:val="28"/>
        <w:rPr>
          <w:rFonts w:ascii="Times New Roman"/>
        </w:rPr>
      </w:pPr>
      <w:r>
        <w:rPr>
          <w:rFonts w:ascii="Times New Roman"/>
        </w:rPr>
        <w:t>6.6 涡旋振荡器</w:t>
      </w:r>
    </w:p>
    <w:p w14:paraId="53839B51">
      <w:pPr>
        <w:pStyle w:val="28"/>
        <w:rPr>
          <w:rFonts w:ascii="Times New Roman"/>
        </w:rPr>
      </w:pPr>
      <w:r>
        <w:rPr>
          <w:rFonts w:ascii="Times New Roman"/>
        </w:rPr>
        <w:t>6.7 气浴摇床</w:t>
      </w:r>
    </w:p>
    <w:p w14:paraId="7AEA5241">
      <w:pPr>
        <w:pStyle w:val="28"/>
        <w:rPr>
          <w:rFonts w:ascii="Times New Roman"/>
        </w:rPr>
      </w:pPr>
      <w:r>
        <w:rPr>
          <w:rFonts w:ascii="Times New Roman"/>
        </w:rPr>
        <w:t>6.8 离心机</w:t>
      </w:r>
    </w:p>
    <w:p w14:paraId="0A629408">
      <w:pPr>
        <w:pStyle w:val="28"/>
        <w:rPr>
          <w:rFonts w:ascii="Times New Roman"/>
        </w:rPr>
      </w:pPr>
      <w:r>
        <w:rPr>
          <w:rFonts w:ascii="Times New Roman"/>
        </w:rPr>
        <w:t>6.9 紫外可见光分光光度计</w:t>
      </w:r>
    </w:p>
    <w:p w14:paraId="02D5B9AC">
      <w:pPr>
        <w:pStyle w:val="28"/>
        <w:rPr>
          <w:rFonts w:ascii="Times New Roman"/>
        </w:rPr>
      </w:pPr>
      <w:r>
        <w:rPr>
          <w:rFonts w:ascii="Times New Roman"/>
        </w:rPr>
        <w:t>6.10 气浴恒温摇床</w:t>
      </w:r>
    </w:p>
    <w:p w14:paraId="5C40A8E4">
      <w:pPr>
        <w:pStyle w:val="28"/>
        <w:rPr>
          <w:rFonts w:ascii="Times New Roman"/>
        </w:rPr>
      </w:pPr>
      <w:r>
        <w:rPr>
          <w:rFonts w:ascii="Times New Roman"/>
        </w:rPr>
        <w:t>6.11数控超声波清洗器</w:t>
      </w:r>
    </w:p>
    <w:p w14:paraId="379C0F85">
      <w:pPr>
        <w:pStyle w:val="28"/>
        <w:rPr>
          <w:rFonts w:ascii="Times New Roman"/>
        </w:rPr>
      </w:pPr>
      <w:r>
        <w:rPr>
          <w:rFonts w:ascii="Times New Roman"/>
        </w:rPr>
        <w:t>6.12 纯水系统</w:t>
      </w:r>
    </w:p>
    <w:p w14:paraId="135BDB98">
      <w:pPr>
        <w:pStyle w:val="28"/>
        <w:rPr>
          <w:rFonts w:ascii="Times New Roman"/>
        </w:rPr>
      </w:pPr>
      <w:r>
        <w:rPr>
          <w:rFonts w:ascii="Times New Roman"/>
        </w:rPr>
        <w:t>6.13 高效液相色谱仪</w:t>
      </w:r>
    </w:p>
    <w:p w14:paraId="4DB6993C">
      <w:pPr>
        <w:pStyle w:val="54"/>
        <w:spacing w:before="312" w:after="312"/>
        <w:ind w:left="0" w:firstLine="420" w:firstLineChars="200"/>
        <w:rPr>
          <w:rFonts w:ascii="Times New Roman"/>
          <w:color w:val="000000" w:themeColor="text1"/>
          <w14:textFill>
            <w14:solidFill>
              <w14:schemeClr w14:val="tx1"/>
            </w14:solidFill>
          </w14:textFill>
        </w:rPr>
      </w:pPr>
      <w:bookmarkStart w:id="52" w:name="_Toc110254252"/>
      <w:bookmarkEnd w:id="52"/>
      <w:bookmarkStart w:id="53" w:name="_Toc110254250"/>
      <w:bookmarkEnd w:id="53"/>
      <w:bookmarkStart w:id="54" w:name="_Toc110269179"/>
      <w:bookmarkEnd w:id="54"/>
      <w:bookmarkStart w:id="55" w:name="_Toc107834487"/>
      <w:bookmarkEnd w:id="55"/>
      <w:bookmarkStart w:id="56" w:name="_Toc110254559"/>
      <w:bookmarkEnd w:id="56"/>
      <w:bookmarkStart w:id="57" w:name="_Toc110269178"/>
      <w:bookmarkEnd w:id="57"/>
      <w:bookmarkStart w:id="58" w:name="_Toc107585119"/>
      <w:bookmarkEnd w:id="58"/>
      <w:bookmarkStart w:id="59" w:name="_Toc110254253"/>
      <w:bookmarkEnd w:id="59"/>
      <w:bookmarkStart w:id="60" w:name="_Toc107585122"/>
      <w:bookmarkEnd w:id="60"/>
      <w:bookmarkStart w:id="61" w:name="_Toc107834481"/>
      <w:bookmarkEnd w:id="61"/>
      <w:bookmarkStart w:id="62" w:name="_Toc107585120"/>
      <w:bookmarkEnd w:id="62"/>
      <w:bookmarkStart w:id="63" w:name="_Toc110254254"/>
      <w:bookmarkEnd w:id="63"/>
      <w:bookmarkStart w:id="64" w:name="_Toc110254564"/>
      <w:bookmarkEnd w:id="64"/>
      <w:bookmarkStart w:id="65" w:name="_Toc107834485"/>
      <w:bookmarkEnd w:id="65"/>
      <w:bookmarkStart w:id="66" w:name="_Toc107585116"/>
      <w:bookmarkEnd w:id="66"/>
      <w:bookmarkStart w:id="67" w:name="_Toc107585123"/>
      <w:bookmarkEnd w:id="67"/>
      <w:bookmarkStart w:id="68" w:name="_Toc107834480"/>
      <w:bookmarkEnd w:id="68"/>
      <w:bookmarkStart w:id="69" w:name="_Toc110254561"/>
      <w:bookmarkEnd w:id="69"/>
      <w:bookmarkStart w:id="70" w:name="_Toc107585118"/>
      <w:bookmarkEnd w:id="70"/>
      <w:bookmarkStart w:id="71" w:name="_Toc110254255"/>
      <w:bookmarkEnd w:id="71"/>
      <w:bookmarkStart w:id="72" w:name="_Toc110254562"/>
      <w:bookmarkEnd w:id="72"/>
      <w:bookmarkStart w:id="73" w:name="_Toc110269181"/>
      <w:bookmarkEnd w:id="73"/>
      <w:bookmarkStart w:id="74" w:name="_Toc107834488"/>
      <w:bookmarkEnd w:id="74"/>
      <w:bookmarkStart w:id="75" w:name="_Toc110269180"/>
      <w:bookmarkEnd w:id="75"/>
      <w:bookmarkStart w:id="76" w:name="_Toc107585121"/>
      <w:bookmarkEnd w:id="76"/>
      <w:bookmarkStart w:id="77" w:name="_Toc110269176"/>
      <w:bookmarkEnd w:id="77"/>
      <w:bookmarkStart w:id="78" w:name="_Toc110254251"/>
      <w:bookmarkEnd w:id="78"/>
      <w:bookmarkStart w:id="79" w:name="_Toc110254558"/>
      <w:bookmarkEnd w:id="79"/>
      <w:bookmarkStart w:id="80" w:name="_Toc107834486"/>
      <w:bookmarkEnd w:id="80"/>
      <w:bookmarkStart w:id="81" w:name="_Toc110254565"/>
      <w:bookmarkEnd w:id="81"/>
      <w:bookmarkStart w:id="82" w:name="_Toc107834484"/>
      <w:bookmarkEnd w:id="82"/>
      <w:bookmarkStart w:id="83" w:name="_Toc110254566"/>
      <w:bookmarkEnd w:id="83"/>
      <w:bookmarkStart w:id="84" w:name="_Toc110269183"/>
      <w:bookmarkEnd w:id="84"/>
      <w:bookmarkStart w:id="85" w:name="_Toc110254563"/>
      <w:bookmarkEnd w:id="85"/>
      <w:bookmarkStart w:id="86" w:name="_Toc110254257"/>
      <w:bookmarkEnd w:id="86"/>
      <w:bookmarkStart w:id="87" w:name="_Toc110269177"/>
      <w:bookmarkEnd w:id="87"/>
      <w:bookmarkStart w:id="88" w:name="_Toc110269182"/>
      <w:bookmarkEnd w:id="88"/>
      <w:bookmarkStart w:id="89" w:name="_Toc110254258"/>
      <w:bookmarkEnd w:id="89"/>
      <w:bookmarkStart w:id="90" w:name="_Toc107585117"/>
      <w:bookmarkEnd w:id="90"/>
      <w:bookmarkStart w:id="91" w:name="_Toc110269184"/>
      <w:bookmarkEnd w:id="91"/>
      <w:bookmarkStart w:id="92" w:name="_Toc110254560"/>
      <w:bookmarkEnd w:id="92"/>
      <w:bookmarkStart w:id="93" w:name="_Toc110254256"/>
      <w:bookmarkEnd w:id="93"/>
      <w:bookmarkStart w:id="94" w:name="_Toc107834482"/>
      <w:bookmarkEnd w:id="94"/>
      <w:bookmarkStart w:id="95" w:name="_Toc107834483"/>
      <w:bookmarkEnd w:id="95"/>
      <w:bookmarkStart w:id="96" w:name="_Toc107585124"/>
      <w:bookmarkEnd w:id="96"/>
      <w:r>
        <w:rPr>
          <w:rFonts w:hint="eastAsia" w:ascii="Times New Roman"/>
          <w:color w:val="000000" w:themeColor="text1"/>
          <w14:textFill>
            <w14:solidFill>
              <w14:schemeClr w14:val="tx1"/>
            </w14:solidFill>
          </w14:textFill>
        </w:rPr>
        <w:t>分析步骤</w:t>
      </w:r>
    </w:p>
    <w:p w14:paraId="715B2B16">
      <w:pPr>
        <w:pStyle w:val="28"/>
        <w:rPr>
          <w:rFonts w:ascii="Times New Roman"/>
        </w:rPr>
      </w:pPr>
      <w:r>
        <w:rPr>
          <w:rFonts w:ascii="Times New Roman"/>
        </w:rPr>
        <w:t>7.1 液化过程</w:t>
      </w:r>
    </w:p>
    <w:p w14:paraId="5190D46A">
      <w:pPr>
        <w:pStyle w:val="28"/>
        <w:rPr>
          <w:rFonts w:ascii="Times New Roman"/>
        </w:rPr>
      </w:pPr>
      <w:r>
        <w:rPr>
          <w:rFonts w:ascii="Times New Roman"/>
        </w:rPr>
        <w:t>称取50（±5）mg样品转移至2 mL的微型离心管中，同时再取两支空的微型离心管作为空白对照；加入1.5 mL 耐高温α-淀粉酶稀释液（实际添加量为5 μL），涡旋震荡后，将离心管放入摇架，在86℃下水解30 min。</w:t>
      </w:r>
    </w:p>
    <w:p w14:paraId="3C31D63A">
      <w:pPr>
        <w:pStyle w:val="28"/>
        <w:rPr>
          <w:rFonts w:ascii="Times New Roman"/>
        </w:rPr>
      </w:pPr>
      <w:r>
        <w:rPr>
          <w:rFonts w:ascii="Times New Roman"/>
        </w:rPr>
        <w:t>7.2 糖化过程</w:t>
      </w:r>
    </w:p>
    <w:p w14:paraId="5EF4423D">
      <w:pPr>
        <w:pStyle w:val="28"/>
        <w:rPr>
          <w:rFonts w:ascii="Times New Roman"/>
        </w:rPr>
      </w:pPr>
      <w:r>
        <w:rPr>
          <w:rFonts w:ascii="Times New Roman"/>
        </w:rPr>
        <w:t>液化结束后，拿出摇架，打开盖子以适当降低腔内温度，加入适量适当稀释的糖化酶液（改为α-淀粉酶稀释液。且实际添加量为10 μL），涡旋震荡后，将其放入摇架，在68℃下水解适当时间（60 min）。</w:t>
      </w:r>
    </w:p>
    <w:p w14:paraId="5B9E0FD3">
      <w:pPr>
        <w:pStyle w:val="28"/>
        <w:rPr>
          <w:rFonts w:ascii="Times New Roman"/>
        </w:rPr>
      </w:pPr>
      <w:r>
        <w:rPr>
          <w:rFonts w:ascii="Times New Roman"/>
        </w:rPr>
        <w:t>7.3 葡萄糖测定</w:t>
      </w:r>
    </w:p>
    <w:p w14:paraId="59D2008C">
      <w:pPr>
        <w:pStyle w:val="28"/>
        <w:rPr>
          <w:rFonts w:ascii="Times New Roman"/>
        </w:rPr>
      </w:pPr>
      <w:r>
        <w:rPr>
          <w:rFonts w:ascii="Times New Roman"/>
        </w:rPr>
        <w:t>将上述淀粉水解液定容至100 mL，混匀后用注射器吸取适量，通过0.22 μm滤膜过滤后，转移至液相专用进样瓶中，用于HPLC分析。色谱分析条件：色谱柱：H+型阳离子交换色谱柱（Phenomenex, Torrance, CA），Rezex RCM 300×7.8 mm，柱温65℃；检测器：示差折光检测器，温度40℃；流动相：0.005 N H2SO4，流速0.6 mL/min；进样量：20 µL。</w:t>
      </w:r>
    </w:p>
    <w:p w14:paraId="686BCE1A">
      <w:pPr>
        <w:pStyle w:val="28"/>
        <w:rPr>
          <w:rFonts w:ascii="Times New Roman"/>
        </w:rPr>
      </w:pPr>
      <w:r>
        <w:rPr>
          <w:rFonts w:ascii="Times New Roman"/>
        </w:rPr>
        <w:t>7.4 葡萄糖标准曲线的绘制</w:t>
      </w:r>
    </w:p>
    <w:p w14:paraId="7807192E">
      <w:pPr>
        <w:pStyle w:val="28"/>
      </w:pPr>
      <w:r>
        <w:rPr>
          <w:rFonts w:ascii="Times New Roman"/>
        </w:rPr>
        <w:t>准确称取一水葡萄糖0.1 g左右（精确至0.1 mg），并用纯水定容至100 mL，配制成1 mg/mL左右的标准贮备液，并用纯水依次稀释配制成浓度分别为0.2、0.4、0.6、0.8、1 mg/mL左右的系列标准葡萄糖溶液。样品色谱分析前经0.22 μm微孔滤膜过滤。以葡萄糖标准溶液的浓度为横坐标（X），标准样品的色谱峰面积为纵坐标（Y），绘制葡萄糖溶液标准曲线。</w:t>
      </w:r>
    </w:p>
    <w:p w14:paraId="7121660A">
      <w:pPr>
        <w:pStyle w:val="54"/>
        <w:spacing w:before="312" w:after="312"/>
        <w:ind w:left="0" w:firstLine="420" w:firstLineChars="200"/>
        <w:rPr>
          <w:rFonts w:ascii="Times New Roman"/>
          <w:color w:val="000000" w:themeColor="text1"/>
          <w14:textFill>
            <w14:solidFill>
              <w14:schemeClr w14:val="tx1"/>
            </w14:solidFill>
          </w14:textFill>
        </w:rPr>
      </w:pPr>
      <w:bookmarkStart w:id="97" w:name="_Toc107585142"/>
      <w:bookmarkEnd w:id="97"/>
      <w:bookmarkStart w:id="98" w:name="_Toc110254285"/>
      <w:bookmarkEnd w:id="98"/>
      <w:bookmarkStart w:id="99" w:name="_Toc110254598"/>
      <w:bookmarkEnd w:id="99"/>
      <w:bookmarkStart w:id="100" w:name="_Toc110254589"/>
      <w:bookmarkEnd w:id="100"/>
      <w:bookmarkStart w:id="101" w:name="_Toc107585160"/>
      <w:bookmarkEnd w:id="101"/>
      <w:bookmarkStart w:id="102" w:name="_Toc110269216"/>
      <w:bookmarkEnd w:id="102"/>
      <w:bookmarkStart w:id="103" w:name="_Toc110254591"/>
      <w:bookmarkEnd w:id="103"/>
      <w:bookmarkStart w:id="104" w:name="_Toc110269221"/>
      <w:bookmarkEnd w:id="104"/>
      <w:bookmarkStart w:id="105" w:name="_Toc107834509"/>
      <w:bookmarkEnd w:id="105"/>
      <w:bookmarkStart w:id="106" w:name="_Toc107834515"/>
      <w:bookmarkEnd w:id="106"/>
      <w:bookmarkStart w:id="107" w:name="_Toc107585151"/>
      <w:bookmarkEnd w:id="107"/>
      <w:bookmarkStart w:id="108" w:name="_Toc110254597"/>
      <w:bookmarkEnd w:id="108"/>
      <w:bookmarkStart w:id="109" w:name="_Toc110254290"/>
      <w:bookmarkEnd w:id="109"/>
      <w:bookmarkStart w:id="110" w:name="_Toc107834514"/>
      <w:bookmarkEnd w:id="110"/>
      <w:bookmarkStart w:id="111" w:name="_Toc110254602"/>
      <w:bookmarkEnd w:id="111"/>
      <w:bookmarkStart w:id="112" w:name="_Toc107834520"/>
      <w:bookmarkEnd w:id="112"/>
      <w:bookmarkStart w:id="113" w:name="_Toc110254294"/>
      <w:bookmarkEnd w:id="113"/>
      <w:bookmarkStart w:id="114" w:name="_Toc107585148"/>
      <w:bookmarkEnd w:id="114"/>
      <w:bookmarkStart w:id="115" w:name="_Toc107585155"/>
      <w:bookmarkEnd w:id="115"/>
      <w:bookmarkStart w:id="116" w:name="_Toc110254281"/>
      <w:bookmarkEnd w:id="116"/>
      <w:bookmarkStart w:id="117" w:name="_Toc107585161"/>
      <w:bookmarkEnd w:id="117"/>
      <w:bookmarkStart w:id="118" w:name="_Toc110254590"/>
      <w:bookmarkEnd w:id="118"/>
      <w:bookmarkStart w:id="119" w:name="_Toc107834519"/>
      <w:bookmarkEnd w:id="119"/>
      <w:bookmarkStart w:id="120" w:name="_Toc107585150"/>
      <w:bookmarkEnd w:id="120"/>
      <w:bookmarkStart w:id="121" w:name="_Toc107834524"/>
      <w:bookmarkEnd w:id="121"/>
      <w:bookmarkStart w:id="122" w:name="_Toc110254282"/>
      <w:bookmarkEnd w:id="122"/>
      <w:bookmarkStart w:id="123" w:name="_Toc110254284"/>
      <w:bookmarkEnd w:id="123"/>
      <w:bookmarkStart w:id="124" w:name="_Toc110269215"/>
      <w:bookmarkEnd w:id="124"/>
      <w:bookmarkStart w:id="125" w:name="_Toc110254295"/>
      <w:bookmarkEnd w:id="125"/>
      <w:bookmarkStart w:id="126" w:name="_Toc110254592"/>
      <w:bookmarkEnd w:id="126"/>
      <w:bookmarkStart w:id="127" w:name="_Toc110269196"/>
      <w:bookmarkEnd w:id="127"/>
      <w:bookmarkStart w:id="128" w:name="_Toc107834501"/>
      <w:bookmarkEnd w:id="128"/>
      <w:bookmarkStart w:id="129" w:name="_Toc107585140"/>
      <w:bookmarkEnd w:id="129"/>
      <w:bookmarkStart w:id="130" w:name="_Toc110254274"/>
      <w:bookmarkEnd w:id="130"/>
      <w:bookmarkStart w:id="131" w:name="_Toc110254271"/>
      <w:bookmarkEnd w:id="131"/>
      <w:bookmarkStart w:id="132" w:name="_Toc107834525"/>
      <w:bookmarkEnd w:id="132"/>
      <w:bookmarkStart w:id="133" w:name="_Toc107834500"/>
      <w:bookmarkEnd w:id="133"/>
      <w:bookmarkStart w:id="134" w:name="_Toc110254270"/>
      <w:bookmarkEnd w:id="134"/>
      <w:bookmarkStart w:id="135" w:name="_Toc107585143"/>
      <w:bookmarkEnd w:id="135"/>
      <w:bookmarkStart w:id="136" w:name="_Toc107834503"/>
      <w:bookmarkEnd w:id="136"/>
      <w:bookmarkStart w:id="137" w:name="_Toc107834502"/>
      <w:bookmarkEnd w:id="137"/>
      <w:bookmarkStart w:id="138" w:name="_Toc110254603"/>
      <w:bookmarkEnd w:id="138"/>
      <w:bookmarkStart w:id="139" w:name="_Toc110254579"/>
      <w:bookmarkEnd w:id="139"/>
      <w:bookmarkStart w:id="140" w:name="_Toc110254582"/>
      <w:bookmarkEnd w:id="140"/>
      <w:bookmarkStart w:id="141" w:name="_Toc110254580"/>
      <w:bookmarkEnd w:id="141"/>
      <w:bookmarkStart w:id="142" w:name="_Toc107834506"/>
      <w:bookmarkEnd w:id="142"/>
      <w:bookmarkStart w:id="143" w:name="_Toc110269200"/>
      <w:bookmarkEnd w:id="143"/>
      <w:bookmarkStart w:id="144" w:name="_Toc110254273"/>
      <w:bookmarkEnd w:id="144"/>
      <w:bookmarkStart w:id="145" w:name="_Toc110269198"/>
      <w:bookmarkEnd w:id="145"/>
      <w:bookmarkStart w:id="146" w:name="_Toc110254578"/>
      <w:bookmarkEnd w:id="146"/>
      <w:bookmarkStart w:id="147" w:name="_Toc110269199"/>
      <w:bookmarkEnd w:id="147"/>
      <w:bookmarkStart w:id="148" w:name="_Toc110254585"/>
      <w:bookmarkEnd w:id="148"/>
      <w:bookmarkStart w:id="149" w:name="_Toc107585137"/>
      <w:bookmarkEnd w:id="149"/>
      <w:bookmarkStart w:id="150" w:name="_Toc110269201"/>
      <w:bookmarkEnd w:id="150"/>
      <w:bookmarkStart w:id="151" w:name="_Toc110254581"/>
      <w:bookmarkEnd w:id="151"/>
      <w:bookmarkStart w:id="152" w:name="_Toc110254289"/>
      <w:bookmarkEnd w:id="152"/>
      <w:bookmarkStart w:id="153" w:name="_Toc107585138"/>
      <w:bookmarkEnd w:id="153"/>
      <w:bookmarkStart w:id="154" w:name="_Toc110269202"/>
      <w:bookmarkEnd w:id="154"/>
      <w:bookmarkStart w:id="155" w:name="_Toc110269206"/>
      <w:bookmarkEnd w:id="155"/>
      <w:bookmarkStart w:id="156" w:name="_Toc110254584"/>
      <w:bookmarkEnd w:id="156"/>
      <w:bookmarkStart w:id="157" w:name="_Toc110254588"/>
      <w:bookmarkEnd w:id="157"/>
      <w:bookmarkStart w:id="158" w:name="_Toc107585145"/>
      <w:bookmarkEnd w:id="158"/>
      <w:bookmarkStart w:id="159" w:name="_Toc110269205"/>
      <w:bookmarkEnd w:id="159"/>
      <w:bookmarkStart w:id="160" w:name="_Toc107585139"/>
      <w:bookmarkEnd w:id="160"/>
      <w:bookmarkStart w:id="161" w:name="_Toc107834507"/>
      <w:bookmarkEnd w:id="161"/>
      <w:bookmarkStart w:id="162" w:name="_Toc107585141"/>
      <w:bookmarkEnd w:id="162"/>
      <w:bookmarkStart w:id="163" w:name="_Toc107834505"/>
      <w:bookmarkEnd w:id="163"/>
      <w:bookmarkStart w:id="164" w:name="_Toc107585146"/>
      <w:bookmarkEnd w:id="164"/>
      <w:bookmarkStart w:id="165" w:name="_Toc107585136"/>
      <w:bookmarkEnd w:id="165"/>
      <w:bookmarkStart w:id="166" w:name="_Toc110254275"/>
      <w:bookmarkEnd w:id="166"/>
      <w:bookmarkStart w:id="167" w:name="_Toc107585144"/>
      <w:bookmarkEnd w:id="167"/>
      <w:bookmarkStart w:id="168" w:name="_Toc110269209"/>
      <w:bookmarkEnd w:id="168"/>
      <w:bookmarkStart w:id="169" w:name="_Toc110254277"/>
      <w:bookmarkEnd w:id="169"/>
      <w:bookmarkStart w:id="170" w:name="_Toc110269210"/>
      <w:bookmarkEnd w:id="170"/>
      <w:bookmarkStart w:id="171" w:name="_Toc107834512"/>
      <w:bookmarkEnd w:id="171"/>
      <w:bookmarkStart w:id="172" w:name="_Toc110254272"/>
      <w:bookmarkEnd w:id="172"/>
      <w:bookmarkStart w:id="173" w:name="_Toc110254278"/>
      <w:bookmarkEnd w:id="173"/>
      <w:bookmarkStart w:id="174" w:name="_Toc107834510"/>
      <w:bookmarkEnd w:id="174"/>
      <w:bookmarkStart w:id="175" w:name="_Toc107834508"/>
      <w:bookmarkEnd w:id="175"/>
      <w:bookmarkStart w:id="176" w:name="_Toc110254586"/>
      <w:bookmarkEnd w:id="176"/>
      <w:bookmarkStart w:id="177" w:name="_Toc107585156"/>
      <w:bookmarkEnd w:id="177"/>
      <w:bookmarkStart w:id="178" w:name="_Toc107834504"/>
      <w:bookmarkEnd w:id="178"/>
      <w:bookmarkStart w:id="179" w:name="_Toc110254587"/>
      <w:bookmarkEnd w:id="179"/>
      <w:bookmarkStart w:id="180" w:name="_Toc110254593"/>
      <w:bookmarkEnd w:id="180"/>
      <w:bookmarkStart w:id="181" w:name="_Toc110254280"/>
      <w:bookmarkEnd w:id="181"/>
      <w:bookmarkStart w:id="182" w:name="_Toc110254583"/>
      <w:bookmarkEnd w:id="182"/>
      <w:bookmarkStart w:id="183" w:name="_Toc110269197"/>
      <w:bookmarkEnd w:id="183"/>
      <w:bookmarkStart w:id="184" w:name="_Toc107585147"/>
      <w:bookmarkEnd w:id="184"/>
      <w:bookmarkStart w:id="185" w:name="_Toc107834513"/>
      <w:bookmarkEnd w:id="185"/>
      <w:bookmarkStart w:id="186" w:name="_Toc110254276"/>
      <w:bookmarkEnd w:id="186"/>
      <w:bookmarkStart w:id="187" w:name="_Toc110269211"/>
      <w:bookmarkEnd w:id="187"/>
      <w:bookmarkStart w:id="188" w:name="_Toc110269204"/>
      <w:bookmarkEnd w:id="188"/>
      <w:bookmarkStart w:id="189" w:name="_Toc110269207"/>
      <w:bookmarkEnd w:id="189"/>
      <w:bookmarkStart w:id="190" w:name="_Toc110269203"/>
      <w:bookmarkEnd w:id="190"/>
      <w:bookmarkStart w:id="191" w:name="_Toc110269208"/>
      <w:bookmarkEnd w:id="191"/>
      <w:bookmarkStart w:id="192" w:name="_Toc110269220"/>
      <w:bookmarkEnd w:id="192"/>
      <w:bookmarkStart w:id="193" w:name="_Toc110254283"/>
      <w:bookmarkEnd w:id="193"/>
      <w:bookmarkStart w:id="194" w:name="_Toc107585149"/>
      <w:bookmarkEnd w:id="194"/>
      <w:bookmarkStart w:id="195" w:name="_Toc110254279"/>
      <w:bookmarkEnd w:id="195"/>
      <w:bookmarkStart w:id="196" w:name="_Toc107834511"/>
      <w:bookmarkEnd w:id="196"/>
      <w:r>
        <w:rPr>
          <w:rFonts w:hint="eastAsia" w:ascii="Times New Roman"/>
          <w:color w:val="000000" w:themeColor="text1"/>
          <w14:textFill>
            <w14:solidFill>
              <w14:schemeClr w14:val="tx1"/>
            </w14:solidFill>
          </w14:textFill>
        </w:rPr>
        <w:t>结果计算</w:t>
      </w:r>
    </w:p>
    <w:p w14:paraId="476AC437">
      <w:pPr>
        <w:pStyle w:val="28"/>
        <w:rPr>
          <w:rFonts w:ascii="Times New Roman"/>
        </w:rPr>
      </w:pPr>
      <w:r>
        <w:rPr>
          <w:rFonts w:hint="eastAsia"/>
        </w:rPr>
        <w:t>对样品水解液进行液相色谱分析，根据标准曲线计算其葡萄糖含量，并折算为淀粉含量。计算公式：</w:t>
      </w:r>
    </w:p>
    <w:p w14:paraId="65F64D04">
      <w:pPr>
        <w:pStyle w:val="28"/>
        <w:jc w:val="center"/>
        <w:rPr>
          <w:rFonts w:ascii="Times New Roman"/>
        </w:rPr>
      </w:pPr>
      <w:r>
        <w:rPr>
          <w:rFonts w:ascii="Times New Roman"/>
        </w:rPr>
        <w:t xml:space="preserve">淀粉含量（干基，%）=  </w:t>
      </w:r>
      <w:r>
        <w:rPr>
          <w:rFonts w:ascii="Times New Roman"/>
          <w:color w:val="000000"/>
          <w:position w:val="-28"/>
          <w:sz w:val="24"/>
        </w:rPr>
        <w:object>
          <v:shape id="_x0000_i1025" o:spt="75" type="#_x0000_t75" style="height:33pt;width:162.9pt;" o:ole="t" filled="f" o:preferrelative="t" stroked="f" coordsize="21600,21600">
            <v:path/>
            <v:fill on="f" focussize="0,0"/>
            <v:stroke on="f" joinstyle="miter"/>
            <v:imagedata r:id="rId15" o:title=""/>
            <o:lock v:ext="edit" aspectratio="t"/>
            <w10:wrap type="none"/>
            <w10:anchorlock/>
          </v:shape>
          <o:OLEObject Type="Embed" ProgID="Equation.DSMT4" ShapeID="_x0000_i1025" DrawAspect="Content" ObjectID="_1468075725" r:id="rId14">
            <o:LockedField>false</o:LockedField>
          </o:OLEObject>
        </w:object>
      </w:r>
    </w:p>
    <w:p w14:paraId="34F586E5">
      <w:pPr>
        <w:pStyle w:val="28"/>
        <w:rPr>
          <w:rFonts w:ascii="Times New Roman"/>
        </w:rPr>
      </w:pPr>
      <w:r>
        <w:rPr>
          <w:rFonts w:ascii="Times New Roman"/>
        </w:rPr>
        <w:t>式中：</w:t>
      </w:r>
    </w:p>
    <w:p w14:paraId="4A44BD02">
      <w:pPr>
        <w:pStyle w:val="28"/>
        <w:rPr>
          <w:rFonts w:ascii="Times New Roman"/>
        </w:rPr>
      </w:pPr>
      <w:r>
        <w:rPr>
          <w:rFonts w:ascii="Times New Roman"/>
        </w:rPr>
        <w:t>c——表示玉米样品水解液的葡萄糖浓度，mg/mL；</w:t>
      </w:r>
    </w:p>
    <w:p w14:paraId="4A13C9F2">
      <w:pPr>
        <w:pStyle w:val="28"/>
        <w:rPr>
          <w:rFonts w:ascii="Times New Roman"/>
        </w:rPr>
      </w:pPr>
      <w:r>
        <w:rPr>
          <w:rFonts w:ascii="Times New Roman"/>
        </w:rPr>
        <w:t>m——表示样品的质量，g；</w:t>
      </w:r>
    </w:p>
    <w:p w14:paraId="7437290B">
      <w:pPr>
        <w:pStyle w:val="28"/>
        <w:rPr>
          <w:rFonts w:ascii="Times New Roman"/>
        </w:rPr>
      </w:pPr>
      <w:r>
        <w:rPr>
          <w:rFonts w:ascii="Times New Roman"/>
        </w:rPr>
        <w:t>w——表示样品的水分含量，%；</w:t>
      </w:r>
    </w:p>
    <w:p w14:paraId="50D2F6EE">
      <w:pPr>
        <w:pStyle w:val="28"/>
        <w:rPr>
          <w:rFonts w:ascii="Times New Roman"/>
        </w:rPr>
      </w:pPr>
      <w:r>
        <w:rPr>
          <w:rFonts w:ascii="Times New Roman"/>
        </w:rPr>
        <w:t>162n和180n（n=1，2，3···）——分别表示淀粉和葡萄糖的摩尔质量分数。</w:t>
      </w:r>
    </w:p>
    <w:p w14:paraId="4A5FE213">
      <w:pPr>
        <w:pStyle w:val="54"/>
        <w:spacing w:before="312" w:after="312"/>
        <w:ind w:left="0" w:firstLine="420" w:firstLineChars="20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重复性</w:t>
      </w:r>
    </w:p>
    <w:p w14:paraId="5B70C386">
      <w:pPr>
        <w:pStyle w:val="28"/>
        <w:rPr>
          <w:rFonts w:ascii="Times New Roman"/>
        </w:rPr>
      </w:pPr>
      <w:r>
        <w:rPr>
          <w:rFonts w:hint="eastAsia" w:ascii="Times New Roman"/>
        </w:rPr>
        <w:t>9.1 重复性</w:t>
      </w:r>
    </w:p>
    <w:p w14:paraId="1009D69B">
      <w:pPr>
        <w:pStyle w:val="28"/>
        <w:rPr>
          <w:rFonts w:ascii="Times New Roman"/>
        </w:rPr>
      </w:pPr>
      <w:r>
        <w:rPr>
          <w:rFonts w:hint="eastAsia" w:ascii="Times New Roman"/>
        </w:rPr>
        <w:t>在重复条件下测定结果的绝对差值不应超过其算术平均值的5%。</w:t>
      </w:r>
    </w:p>
    <w:p w14:paraId="647AB380">
      <w:pPr>
        <w:pStyle w:val="28"/>
        <w:rPr>
          <w:rFonts w:ascii="Times New Roman"/>
        </w:rPr>
      </w:pPr>
      <w:r>
        <w:rPr>
          <w:rFonts w:hint="eastAsia" w:ascii="Times New Roman"/>
        </w:rPr>
        <w:t>9.2 再现性</w:t>
      </w:r>
    </w:p>
    <w:p w14:paraId="1C4C2508">
      <w:pPr>
        <w:pStyle w:val="28"/>
        <w:rPr>
          <w:rFonts w:ascii="Times New Roman"/>
        </w:rPr>
      </w:pPr>
      <w:r>
        <w:rPr>
          <w:rFonts w:hint="eastAsia" w:ascii="Times New Roman"/>
        </w:rPr>
        <w:t>在再现条件下测定结果的绝对差值不应超过其算术平均值的10%。</w:t>
      </w:r>
    </w:p>
    <w:p w14:paraId="29548645">
      <w:pPr>
        <w:pStyle w:val="93"/>
        <w:numPr>
          <w:ilvl w:val="0"/>
          <w:numId w:val="0"/>
        </w:numPr>
        <w:tabs>
          <w:tab w:val="left" w:pos="3902"/>
          <w:tab w:val="center" w:pos="4677"/>
        </w:tabs>
        <w:adjustRightInd w:val="0"/>
        <w:snapToGrid w:val="0"/>
        <w:spacing w:before="600" w:after="284"/>
        <w:outlineLvl w:val="1"/>
        <w:rPr>
          <w:rFonts w:ascii="Times New Roman"/>
          <w:color w:val="000000" w:themeColor="text1"/>
          <w14:textFill>
            <w14:solidFill>
              <w14:schemeClr w14:val="tx1"/>
            </w14:solidFill>
          </w14:textFill>
        </w:rPr>
      </w:pPr>
      <w:bookmarkStart w:id="197" w:name="_Toc110269298"/>
      <w:bookmarkStart w:id="198" w:name="_Toc467490563"/>
      <w:r>
        <w:rPr>
          <w:rFonts w:ascii="Times New Roman"/>
          <w:color w:val="000000" w:themeColor="text1"/>
          <w14:textFill>
            <w14:solidFill>
              <w14:schemeClr w14:val="tx1"/>
            </w14:solidFill>
          </w14:textFill>
        </w:rPr>
        <w:t>参考文献</w:t>
      </w:r>
      <w:bookmarkEnd w:id="197"/>
      <w:bookmarkEnd w:id="198"/>
    </w:p>
    <w:p w14:paraId="4E4E93E8">
      <w:pPr>
        <w:pStyle w:val="28"/>
        <w:ind w:left="420" w:hanging="420" w:hangingChars="200"/>
        <w:jc w:val="left"/>
        <w:rPr>
          <w:rFonts w:ascii="Times New Roman"/>
          <w:color w:val="000000" w:themeColor="text1"/>
          <w:kern w:val="2"/>
          <w:szCs w:val="21"/>
          <w14:textFill>
            <w14:solidFill>
              <w14:schemeClr w14:val="tx1"/>
            </w14:solidFill>
          </w14:textFill>
        </w:rPr>
      </w:pPr>
      <w:r>
        <w:rPr>
          <w:rFonts w:hint="eastAsia" w:ascii="Times New Roman"/>
          <w:color w:val="000000" w:themeColor="text1"/>
          <w:kern w:val="2"/>
          <w:szCs w:val="21"/>
          <w14:textFill>
            <w14:solidFill>
              <w14:schemeClr w14:val="tx1"/>
            </w14:solidFill>
          </w14:textFill>
        </w:rPr>
        <w:t>［1］赵宇明. 旋光法测定绿色豆类食品淀粉含量的研究[J]. 江苏调味副食品, 2014, 02: 37-39.</w:t>
      </w:r>
    </w:p>
    <w:p w14:paraId="378D1AA0">
      <w:pPr>
        <w:pStyle w:val="28"/>
        <w:ind w:left="420" w:hanging="420" w:hangingChars="200"/>
        <w:jc w:val="left"/>
        <w:rPr>
          <w:rFonts w:ascii="Times New Roman"/>
          <w:color w:val="000000" w:themeColor="text1"/>
          <w:kern w:val="2"/>
          <w:szCs w:val="21"/>
          <w14:textFill>
            <w14:solidFill>
              <w14:schemeClr w14:val="tx1"/>
            </w14:solidFill>
          </w14:textFill>
        </w:rPr>
      </w:pPr>
      <w:r>
        <w:rPr>
          <w:rFonts w:hint="eastAsia" w:ascii="Times New Roman"/>
          <w:color w:val="000000" w:themeColor="text1"/>
          <w:kern w:val="2"/>
          <w:szCs w:val="21"/>
          <w14:textFill>
            <w14:solidFill>
              <w14:schemeClr w14:val="tx1"/>
            </w14:solidFill>
          </w14:textFill>
        </w:rPr>
        <w:t>［2］李霞辉, 朱才, 王乐凯, 刘世民, 蒋德云. 玉米籽粒中粗淀粉测定的脱糖问题[J]. 作物品种资源, 1989, 04: 34-36.</w:t>
      </w:r>
    </w:p>
    <w:p w14:paraId="3B4342D1">
      <w:pPr>
        <w:pStyle w:val="28"/>
        <w:ind w:left="420" w:hanging="420" w:hangingChars="200"/>
        <w:jc w:val="left"/>
        <w:rPr>
          <w:rFonts w:ascii="Times New Roman"/>
          <w:color w:val="000000" w:themeColor="text1"/>
          <w:kern w:val="2"/>
          <w:szCs w:val="21"/>
          <w14:textFill>
            <w14:solidFill>
              <w14:schemeClr w14:val="tx1"/>
            </w14:solidFill>
          </w14:textFill>
        </w:rPr>
      </w:pPr>
      <w:r>
        <w:rPr>
          <w:rFonts w:hint="eastAsia" w:ascii="Times New Roman"/>
          <w:color w:val="000000" w:themeColor="text1"/>
          <w:kern w:val="2"/>
          <w:szCs w:val="21"/>
          <w14:textFill>
            <w14:solidFill>
              <w14:schemeClr w14:val="tx1"/>
            </w14:solidFill>
          </w14:textFill>
        </w:rPr>
        <w:t xml:space="preserve">［3］张峻松, 贾春晓, 毛多斌, 张文叶, 李炎强. 碘显色法测定烟草中的淀粉含量[J]. 烟草科技, 2004, 5: 24-26. </w:t>
      </w:r>
    </w:p>
    <w:p w14:paraId="1E672BD6">
      <w:pPr>
        <w:pStyle w:val="28"/>
        <w:ind w:left="420" w:hanging="420" w:hangingChars="200"/>
        <w:jc w:val="left"/>
        <w:rPr>
          <w:rFonts w:ascii="Times New Roman"/>
          <w:color w:val="000000" w:themeColor="text1"/>
          <w:kern w:val="2"/>
          <w:szCs w:val="21"/>
          <w14:textFill>
            <w14:solidFill>
              <w14:schemeClr w14:val="tx1"/>
            </w14:solidFill>
          </w14:textFill>
        </w:rPr>
      </w:pPr>
      <w:r>
        <w:rPr>
          <w:rFonts w:hint="eastAsia" w:ascii="Times New Roman"/>
          <w:color w:val="000000" w:themeColor="text1"/>
          <w:kern w:val="2"/>
          <w:szCs w:val="21"/>
          <w14:textFill>
            <w14:solidFill>
              <w14:schemeClr w14:val="tx1"/>
            </w14:solidFill>
          </w14:textFill>
        </w:rPr>
        <w:t>［4］白坤. 玉米淀粉工程技术[M]. 北京: 中国轻工业出版社, 2012.</w:t>
      </w:r>
    </w:p>
    <w:p w14:paraId="77097766">
      <w:pPr>
        <w:pStyle w:val="28"/>
        <w:ind w:left="420" w:hanging="420" w:hangingChars="200"/>
        <w:jc w:val="left"/>
        <w:rPr>
          <w:rFonts w:ascii="Times New Roman"/>
          <w:color w:val="000000" w:themeColor="text1"/>
          <w:kern w:val="2"/>
          <w:szCs w:val="21"/>
          <w14:textFill>
            <w14:solidFill>
              <w14:schemeClr w14:val="tx1"/>
            </w14:solidFill>
          </w14:textFill>
        </w:rPr>
      </w:pPr>
      <w:r>
        <w:rPr>
          <w:rFonts w:hint="eastAsia" w:ascii="Times New Roman"/>
          <w:color w:val="000000" w:themeColor="text1"/>
          <w:kern w:val="2"/>
          <w:szCs w:val="21"/>
          <w14:textFill>
            <w14:solidFill>
              <w14:schemeClr w14:val="tx1"/>
            </w14:solidFill>
          </w14:textFill>
        </w:rPr>
        <w:t>［5］张旭, 蒋桂韬, 王向荣, 李昊帮, 戴求仲. 酶法测定谷物副产品中淀粉含量. 广东饲料[J]. 2013, 22(10): 33-35.</w:t>
      </w:r>
    </w:p>
    <w:p w14:paraId="413668E9">
      <w:pPr>
        <w:pStyle w:val="28"/>
        <w:ind w:left="420" w:hanging="420" w:hangingChars="200"/>
        <w:jc w:val="left"/>
        <w:rPr>
          <w:rFonts w:ascii="Times New Roman"/>
          <w:color w:val="000000" w:themeColor="text1"/>
          <w:kern w:val="2"/>
          <w:szCs w:val="21"/>
          <w14:textFill>
            <w14:solidFill>
              <w14:schemeClr w14:val="tx1"/>
            </w14:solidFill>
          </w14:textFill>
        </w:rPr>
      </w:pPr>
      <w:r>
        <w:rPr>
          <w:rFonts w:hint="eastAsia" w:ascii="Times New Roman"/>
          <w:color w:val="000000" w:themeColor="text1"/>
          <w:kern w:val="2"/>
          <w:szCs w:val="21"/>
          <w14:textFill>
            <w14:solidFill>
              <w14:schemeClr w14:val="tx1"/>
            </w14:solidFill>
          </w14:textFill>
        </w:rPr>
        <w:t>［6］李毓璞, 任玉琴. 旋光法测定谷物中淀粉的含量[J]. 粮油科技, 1979, 00: 31-33.</w:t>
      </w:r>
    </w:p>
    <w:p w14:paraId="5F637900">
      <w:pPr>
        <w:pStyle w:val="28"/>
        <w:ind w:left="420" w:hanging="420" w:hangingChars="200"/>
        <w:jc w:val="left"/>
        <w:rPr>
          <w:rFonts w:ascii="Times New Roman"/>
          <w:color w:val="000000" w:themeColor="text1"/>
          <w:kern w:val="2"/>
          <w:szCs w:val="21"/>
          <w14:textFill>
            <w14:solidFill>
              <w14:schemeClr w14:val="tx1"/>
            </w14:solidFill>
          </w14:textFill>
        </w:rPr>
      </w:pPr>
      <w:r>
        <w:rPr>
          <w:rFonts w:hint="eastAsia" w:ascii="Times New Roman"/>
          <w:color w:val="000000" w:themeColor="text1"/>
          <w:kern w:val="2"/>
          <w:szCs w:val="21"/>
          <w14:textFill>
            <w14:solidFill>
              <w14:schemeClr w14:val="tx1"/>
            </w14:solidFill>
          </w14:textFill>
        </w:rPr>
        <w:t>［7］卢林. 旋光法测定大米和玉米淀粉含量的条件控制研究[J]. 食品科技, 2010, 35(12): 272-274.</w:t>
      </w:r>
    </w:p>
    <w:p w14:paraId="0625E459">
      <w:pPr>
        <w:pStyle w:val="28"/>
        <w:ind w:left="420" w:hanging="420" w:hangingChars="200"/>
        <w:jc w:val="left"/>
        <w:rPr>
          <w:rFonts w:ascii="Times New Roman"/>
          <w:color w:val="000000" w:themeColor="text1"/>
          <w:kern w:val="2"/>
          <w:szCs w:val="21"/>
          <w14:textFill>
            <w14:solidFill>
              <w14:schemeClr w14:val="tx1"/>
            </w14:solidFill>
          </w14:textFill>
        </w:rPr>
      </w:pPr>
      <w:r>
        <w:rPr>
          <w:rFonts w:hint="eastAsia" w:ascii="Times New Roman"/>
          <w:color w:val="000000" w:themeColor="text1"/>
          <w:kern w:val="2"/>
          <w:szCs w:val="21"/>
          <w14:textFill>
            <w14:solidFill>
              <w14:schemeClr w14:val="tx1"/>
            </w14:solidFill>
          </w14:textFill>
        </w:rPr>
        <w:t>［8］孔德超, 赵仁勇, 王新伟, 宋斌. 采用不同标准方法测定玉米样品中淀粉含量的对比研究[J]. 河南工业大学学报(自然科学版). 2016,37(04): 23-27.</w:t>
      </w:r>
    </w:p>
    <w:p w14:paraId="76B5DAA8">
      <w:pPr>
        <w:pStyle w:val="28"/>
        <w:ind w:left="420" w:hanging="420" w:hangingChars="200"/>
        <w:jc w:val="left"/>
        <w:rPr>
          <w:rFonts w:ascii="Times New Roman"/>
          <w:color w:val="000000" w:themeColor="text1"/>
          <w:kern w:val="2"/>
          <w:szCs w:val="21"/>
          <w14:textFill>
            <w14:solidFill>
              <w14:schemeClr w14:val="tx1"/>
            </w14:solidFill>
          </w14:textFill>
        </w:rPr>
      </w:pPr>
      <w:r>
        <w:rPr>
          <w:rFonts w:hint="eastAsia" w:ascii="Times New Roman"/>
          <w:color w:val="000000" w:themeColor="text1"/>
          <w:kern w:val="2"/>
          <w:szCs w:val="21"/>
          <w14:textFill>
            <w14:solidFill>
              <w14:schemeClr w14:val="tx1"/>
            </w14:solidFill>
          </w14:textFill>
        </w:rPr>
        <w:t>［9］张晓双. 甘薯生产燃料乙醇的发酵品质评价研究[D]. 郑州：河南工业大学.</w:t>
      </w:r>
    </w:p>
    <w:p w14:paraId="3992654E">
      <w:pPr>
        <w:pStyle w:val="28"/>
        <w:ind w:left="420" w:hanging="420" w:hangingChars="200"/>
        <w:jc w:val="left"/>
        <w:rPr>
          <w:rFonts w:ascii="Times New Roman"/>
          <w:color w:val="000000" w:themeColor="text1"/>
          <w:kern w:val="2"/>
          <w:szCs w:val="21"/>
          <w14:textFill>
            <w14:solidFill>
              <w14:schemeClr w14:val="tx1"/>
            </w14:solidFill>
          </w14:textFill>
        </w:rPr>
      </w:pPr>
      <w:r>
        <w:rPr>
          <w:rFonts w:hint="eastAsia" w:ascii="Times New Roman"/>
          <w:color w:val="000000" w:themeColor="text1"/>
          <w:kern w:val="2"/>
          <w:szCs w:val="21"/>
          <w14:textFill>
            <w14:solidFill>
              <w14:schemeClr w14:val="tx1"/>
            </w14:solidFill>
          </w14:textFill>
        </w:rPr>
        <w:t>［10］陆国权, 李秀玲, 丁守仁. 盐酸水解DNS比色法快速测定甘薯淀粉含量的标准方法研究[J]. 中国粮油学报, 2002, 17(1): 25-28.</w:t>
      </w:r>
    </w:p>
    <w:p w14:paraId="404527FE">
      <w:pPr>
        <w:pStyle w:val="28"/>
        <w:ind w:left="420" w:hanging="420" w:hangingChars="200"/>
        <w:jc w:val="left"/>
        <w:rPr>
          <w:rFonts w:ascii="Times New Roman"/>
          <w:color w:val="000000" w:themeColor="text1"/>
          <w:kern w:val="2"/>
          <w:szCs w:val="21"/>
          <w14:textFill>
            <w14:solidFill>
              <w14:schemeClr w14:val="tx1"/>
            </w14:solidFill>
          </w14:textFill>
        </w:rPr>
      </w:pPr>
      <w:r>
        <w:rPr>
          <w:rFonts w:hint="eastAsia" w:ascii="Times New Roman"/>
          <w:color w:val="000000" w:themeColor="text1"/>
          <w:kern w:val="2"/>
          <w:szCs w:val="21"/>
          <w14:textFill>
            <w14:solidFill>
              <w14:schemeClr w14:val="tx1"/>
            </w14:solidFill>
          </w14:textFill>
        </w:rPr>
        <w:t>［11］蔡南通, 翁定河, 颜明娟, 等. 甘薯品种资源主要营养成分分析与评价[J]. 福建农业学报, 2006, 21(3): 194-197.</w:t>
      </w:r>
    </w:p>
    <w:p w14:paraId="381C2021">
      <w:pPr>
        <w:pStyle w:val="28"/>
        <w:ind w:left="420" w:hanging="420" w:hangingChars="200"/>
        <w:jc w:val="left"/>
        <w:rPr>
          <w:rFonts w:ascii="Times New Roman"/>
          <w:color w:val="000000" w:themeColor="text1"/>
          <w:kern w:val="2"/>
          <w:szCs w:val="21"/>
          <w14:textFill>
            <w14:solidFill>
              <w14:schemeClr w14:val="tx1"/>
            </w14:solidFill>
          </w14:textFill>
        </w:rPr>
      </w:pPr>
      <w:r>
        <w:rPr>
          <w:rFonts w:hint="eastAsia" w:ascii="Times New Roman"/>
          <w:color w:val="000000" w:themeColor="text1"/>
          <w:kern w:val="2"/>
          <w:szCs w:val="21"/>
          <w14:textFill>
            <w14:solidFill>
              <w14:schemeClr w14:val="tx1"/>
            </w14:solidFill>
          </w14:textFill>
        </w:rPr>
        <w:t>［12］Cremer J E, Liu L, Bean S R, et al. Impacts of kafirin allelic diversity, starch content, and protein digestibility on ethanol conversion efficiency in grain sorghum [J]. Cereal Chem-istry, 2014, 91(3): 218-227.</w:t>
      </w:r>
    </w:p>
    <w:p w14:paraId="2A095833">
      <w:pPr>
        <w:pStyle w:val="28"/>
        <w:ind w:left="420" w:hanging="420" w:hangingChars="200"/>
        <w:jc w:val="left"/>
        <w:rPr>
          <w:rFonts w:ascii="Times New Roman"/>
          <w:color w:val="000000" w:themeColor="text1"/>
          <w:kern w:val="2"/>
          <w:szCs w:val="21"/>
          <w14:textFill>
            <w14:solidFill>
              <w14:schemeClr w14:val="tx1"/>
            </w14:solidFill>
          </w14:textFill>
        </w:rPr>
      </w:pPr>
      <w:r>
        <w:rPr>
          <w:rFonts w:hint="eastAsia" w:ascii="Times New Roman"/>
          <w:color w:val="000000" w:themeColor="text1"/>
          <w:kern w:val="2"/>
          <w:szCs w:val="21"/>
          <w14:textFill>
            <w14:solidFill>
              <w14:schemeClr w14:val="tx1"/>
            </w14:solidFill>
          </w14:textFill>
        </w:rPr>
        <w:t>［13］Kindred D R, Verhoeven T M O, Weightman R M, et al.  Effects of variety and ferti-liser nitrogen on alcohol yield, grain yield, starch and protein content, and protein composi-tion of winter wheat [J]. Journal of Cereal Science, 2008, 48(1): 46-57.</w:t>
      </w:r>
    </w:p>
    <w:p w14:paraId="43895792">
      <w:pPr>
        <w:pStyle w:val="28"/>
        <w:ind w:left="420" w:hanging="420" w:hangingChars="200"/>
        <w:jc w:val="left"/>
        <w:rPr>
          <w:rFonts w:ascii="Times New Roman"/>
          <w:color w:val="000000" w:themeColor="text1"/>
          <w:kern w:val="2"/>
          <w:szCs w:val="21"/>
          <w14:textFill>
            <w14:solidFill>
              <w14:schemeClr w14:val="tx1"/>
            </w14:solidFill>
          </w14:textFill>
        </w:rPr>
      </w:pPr>
      <w:r>
        <w:rPr>
          <w:rFonts w:hint="eastAsia" w:ascii="Times New Roman"/>
          <w:color w:val="000000" w:themeColor="text1"/>
          <w:kern w:val="2"/>
          <w:szCs w:val="21"/>
          <w14:textFill>
            <w14:solidFill>
              <w14:schemeClr w14:val="tx1"/>
            </w14:solidFill>
          </w14:textFill>
        </w:rPr>
        <w:t>［14］Total Starch Assay Procedure(Megazyme Amyloglucosidase/a-Amylase Method).</w:t>
      </w:r>
    </w:p>
    <w:p w14:paraId="6C450759">
      <w:pPr>
        <w:pStyle w:val="28"/>
        <w:ind w:left="420" w:hanging="420" w:hangingChars="200"/>
        <w:jc w:val="left"/>
        <w:rPr>
          <w:rFonts w:ascii="Times New Roman"/>
          <w:color w:val="000000" w:themeColor="text1"/>
          <w:kern w:val="2"/>
          <w:szCs w:val="21"/>
          <w14:textFill>
            <w14:solidFill>
              <w14:schemeClr w14:val="tx1"/>
            </w14:solidFill>
          </w14:textFill>
        </w:rPr>
      </w:pPr>
      <w:r>
        <w:rPr>
          <w:rFonts w:hint="eastAsia" w:ascii="Times New Roman"/>
          <w:color w:val="000000" w:themeColor="text1"/>
          <w:kern w:val="2"/>
          <w:szCs w:val="21"/>
          <w14:textFill>
            <w14:solidFill>
              <w14:schemeClr w14:val="tx1"/>
            </w14:solidFill>
          </w14:textFill>
        </w:rPr>
        <w:t>［15］GB/T 5006-1985.</w:t>
      </w:r>
    </w:p>
    <w:p w14:paraId="670A2C12">
      <w:pPr>
        <w:pStyle w:val="28"/>
        <w:ind w:left="420" w:hanging="420" w:hangingChars="200"/>
        <w:jc w:val="left"/>
        <w:rPr>
          <w:rFonts w:ascii="Times New Roman"/>
          <w:color w:val="000000" w:themeColor="text1"/>
          <w:kern w:val="2"/>
          <w:szCs w:val="21"/>
          <w14:textFill>
            <w14:solidFill>
              <w14:schemeClr w14:val="tx1"/>
            </w14:solidFill>
          </w14:textFill>
        </w:rPr>
        <w:sectPr>
          <w:headerReference r:id="rId6" w:type="default"/>
          <w:footerReference r:id="rId7" w:type="default"/>
          <w:footerReference r:id="rId8" w:type="even"/>
          <w:pgSz w:w="11906" w:h="16838"/>
          <w:pgMar w:top="567" w:right="1134" w:bottom="1134" w:left="1418" w:header="1418" w:footer="680" w:gutter="0"/>
          <w:cols w:space="425" w:num="1"/>
          <w:docGrid w:type="lines" w:linePitch="312" w:charSpace="0"/>
        </w:sectPr>
      </w:pPr>
      <w:r>
        <w:rPr>
          <w:rFonts w:hint="eastAsia" w:ascii="Times New Roman"/>
          <w:color w:val="000000" w:themeColor="text1"/>
          <w:kern w:val="2"/>
          <w:szCs w:val="21"/>
          <w14:textFill>
            <w14:solidFill>
              <w14:schemeClr w14:val="tx1"/>
            </w14:solidFill>
          </w14:textFill>
        </w:rPr>
        <w:t>［16］GB/T 5514-2008.</w:t>
      </w:r>
      <w:r>
        <mc:AlternateContent>
          <mc:Choice Requires="wps">
            <w:drawing>
              <wp:anchor distT="0" distB="0" distL="114300" distR="114300" simplePos="0" relativeHeight="251659264" behindDoc="0" locked="0" layoutInCell="1" allowOverlap="1">
                <wp:simplePos x="0" y="0"/>
                <wp:positionH relativeFrom="column">
                  <wp:posOffset>2341880</wp:posOffset>
                </wp:positionH>
                <wp:positionV relativeFrom="paragraph">
                  <wp:posOffset>141605</wp:posOffset>
                </wp:positionV>
                <wp:extent cx="1457960" cy="0"/>
                <wp:effectExtent l="0" t="6350" r="0" b="6350"/>
                <wp:wrapNone/>
                <wp:docPr id="5" name="直接连接符 5"/>
                <wp:cNvGraphicFramePr/>
                <a:graphic xmlns:a="http://schemas.openxmlformats.org/drawingml/2006/main">
                  <a:graphicData uri="http://schemas.microsoft.com/office/word/2010/wordprocessingShape">
                    <wps:wsp>
                      <wps:cNvCnPr/>
                      <wps:spPr>
                        <a:xfrm>
                          <a:off x="3242310" y="9507855"/>
                          <a:ext cx="1457960" cy="0"/>
                        </a:xfrm>
                        <a:prstGeom prst="line">
                          <a:avLst/>
                        </a:prstGeom>
                        <a:ln w="1270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84.4pt;margin-top:11.15pt;height:0pt;width:114.8pt;z-index:251659264;mso-width-relative:page;mso-height-relative:page;" filled="f" stroked="t" coordsize="21600,21600" o:gfxdata="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yKq3DY&#10;AAAACQEAAA8AAAAAAAAAAQAgAAAAIgAAAGRycy9kb3ducmV2LnhtbFBLAQIUABQAAAAIAIdO4kAL&#10;+Z5p5wEAAKcDAAAOAAAAAAAAAAEAIAAAACcBAABkcnMvZTJvRG9jLnhtbFBLBQYAAAAABgAGAFkB&#10;AACABQAAAAA=&#10;">
                <v:fill on="f" focussize="0,0"/>
                <v:stroke weight="1pt" color="#000000 [3213]" joinstyle="round"/>
                <v:imagedata o:title=""/>
                <o:lock v:ext="edit" aspectratio="f"/>
              </v:line>
            </w:pict>
          </mc:Fallback>
        </mc:AlternateContent>
      </w:r>
    </w:p>
    <w:p w14:paraId="0C499379">
      <w:pPr>
        <w:pStyle w:val="28"/>
        <w:ind w:firstLine="0" w:firstLineChars="0"/>
        <w:rPr>
          <w:rFonts w:ascii="Times New Roman"/>
          <w:b/>
          <w:color w:val="000000" w:themeColor="text1"/>
          <w14:textFill>
            <w14:solidFill>
              <w14:schemeClr w14:val="tx1"/>
            </w14:solidFill>
          </w14:textFill>
        </w:rPr>
      </w:pPr>
    </w:p>
    <w:sectPr>
      <w:headerReference r:id="rId9" w:type="default"/>
      <w:footerReference r:id="rId11" w:type="default"/>
      <w:headerReference r:id="rId10" w:type="even"/>
      <w:footerReference r:id="rId12" w:type="even"/>
      <w:pgSz w:w="11906" w:h="16838"/>
      <w:pgMar w:top="567" w:right="1134" w:bottom="1134" w:left="1418" w:header="1418" w:footer="68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FZXH1JW--GB1-0">
    <w:altName w:val="Times New Roman"/>
    <w:panose1 w:val="00000000000000000000"/>
    <w:charset w:val="00"/>
    <w:family w:val="roman"/>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6046923"/>
    </w:sdtPr>
    <w:sdtContent>
      <w:p w14:paraId="754707A1">
        <w:pPr>
          <w:pStyle w:val="22"/>
        </w:pPr>
        <w:r>
          <w:fldChar w:fldCharType="begin"/>
        </w:r>
        <w:r>
          <w:instrText xml:space="preserve">PAGE   \* MERGEFORMAT</w:instrText>
        </w:r>
        <w:r>
          <w:fldChar w:fldCharType="separate"/>
        </w:r>
        <w:r>
          <w:rPr>
            <w:lang w:val="zh-CN"/>
          </w:rPr>
          <w:t>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1943335"/>
    </w:sdtPr>
    <w:sdtContent>
      <w:p w14:paraId="5B17EDA0">
        <w:pPr>
          <w:pStyle w:val="22"/>
        </w:pPr>
        <w:r>
          <w:fldChar w:fldCharType="begin"/>
        </w:r>
        <w:r>
          <w:instrText xml:space="preserve">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798305"/>
    </w:sdtPr>
    <w:sdtContent>
      <w:p w14:paraId="0FAA04D5">
        <w:pPr>
          <w:pStyle w:val="22"/>
        </w:pPr>
        <w:r>
          <w:fldChar w:fldCharType="begin"/>
        </w:r>
        <w:r>
          <w:instrText xml:space="preserve">PAGE   \* MERGEFORMAT</w:instrText>
        </w:r>
        <w:r>
          <w:fldChar w:fldCharType="separate"/>
        </w:r>
        <w:r>
          <w:rPr>
            <w:lang w:val="zh-CN"/>
          </w:rPr>
          <w:t>3</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5524828"/>
    </w:sdtPr>
    <w:sdtContent>
      <w:p w14:paraId="22EC2474">
        <w:pPr>
          <w:pStyle w:val="22"/>
          <w:ind w:left="210" w:leftChars="100" w:right="0" w:rightChars="0"/>
          <w:jc w:val="left"/>
        </w:pPr>
        <w:r>
          <w:fldChar w:fldCharType="begin"/>
        </w:r>
        <w:r>
          <w:instrText xml:space="preserve">PAGE   \* MERGEFORMAT</w:instrText>
        </w:r>
        <w:r>
          <w:fldChar w:fldCharType="separate"/>
        </w:r>
        <w:r>
          <w:rPr>
            <w:lang w:val="zh-CN"/>
          </w:rPr>
          <w:t>4</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F457B">
    <w:pPr>
      <w:pStyle w:val="2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08575060"/>
    </w:sdtPr>
    <w:sdtContent>
      <w:p w14:paraId="12E7A8C4">
        <w:pPr>
          <w:pStyle w:val="22"/>
        </w:pPr>
        <w:r>
          <w:ptab w:relativeTo="indent" w:alignment="right" w:leader="none"/>
        </w:r>
      </w:p>
    </w:sdtContent>
  </w:sdt>
  <w:p w14:paraId="5C4233EE">
    <w:pPr>
      <w:pStyle w:val="22"/>
    </w:pPr>
  </w:p>
  <w:p w14:paraId="72CF0B4C"/>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7FBA6">
    <w:pPr>
      <w:pStyle w:val="23"/>
      <w:wordWrap w:val="0"/>
      <w:ind w:right="105"/>
      <w:jc w:val="right"/>
      <w:rPr>
        <w:rFonts w:hint="eastAsia" w:ascii="黑体" w:hAnsi="黑体" w:eastAsia="黑体"/>
        <w:sz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005EB">
    <w:pPr>
      <w:pStyle w:val="23"/>
      <w:wordWrap w:val="0"/>
      <w:ind w:right="10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F5188">
    <w:pPr>
      <w:pStyle w:val="2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BAED6">
    <w:pPr>
      <w:pStyle w:val="23"/>
      <w:wordWrap w:val="0"/>
      <w:ind w:right="945"/>
      <w:rPr>
        <w:rFonts w:hint="eastAsia" w:ascii="宋体" w:hAnsi="宋体"/>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13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000000A"/>
    <w:multiLevelType w:val="multilevel"/>
    <w:tmpl w:val="0000000A"/>
    <w:lvl w:ilvl="0" w:tentative="0">
      <w:start w:val="1"/>
      <w:numFmt w:val="decimal"/>
      <w:pStyle w:val="13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0000000B"/>
    <w:multiLevelType w:val="multilevel"/>
    <w:tmpl w:val="0000000B"/>
    <w:lvl w:ilvl="0" w:tentative="0">
      <w:start w:val="1"/>
      <w:numFmt w:val="decimal"/>
      <w:pStyle w:val="29"/>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3">
    <w:nsid w:val="0000000D"/>
    <w:multiLevelType w:val="multilevel"/>
    <w:tmpl w:val="0000000D"/>
    <w:lvl w:ilvl="0" w:tentative="0">
      <w:start w:val="1"/>
      <w:numFmt w:val="none"/>
      <w:pStyle w:val="57"/>
      <w:suff w:val="nothing"/>
      <w:lvlText w:val="%1——"/>
      <w:lvlJc w:val="left"/>
      <w:pPr>
        <w:ind w:left="834" w:hanging="408"/>
      </w:pPr>
      <w:rPr>
        <w:rFonts w:hint="eastAsia"/>
        <w:lang w:val="en-US"/>
      </w:rPr>
    </w:lvl>
    <w:lvl w:ilvl="1" w:tentative="0">
      <w:start w:val="1"/>
      <w:numFmt w:val="bullet"/>
      <w:pStyle w:val="58"/>
      <w:lvlText w:val=""/>
      <w:lvlJc w:val="left"/>
      <w:pPr>
        <w:tabs>
          <w:tab w:val="left" w:pos="761"/>
        </w:tabs>
        <w:ind w:left="1265" w:hanging="413"/>
      </w:pPr>
      <w:rPr>
        <w:rFonts w:hint="default" w:ascii="Symbol" w:hAnsi="Symbol"/>
        <w:color w:val="auto"/>
      </w:rPr>
    </w:lvl>
    <w:lvl w:ilvl="2" w:tentative="0">
      <w:start w:val="1"/>
      <w:numFmt w:val="bullet"/>
      <w:pStyle w:val="69"/>
      <w:lvlText w:val=""/>
      <w:lvlJc w:val="left"/>
      <w:pPr>
        <w:tabs>
          <w:tab w:val="left" w:pos="1679"/>
        </w:tabs>
        <w:ind w:left="1679" w:hanging="414"/>
      </w:pPr>
      <w:rPr>
        <w:rFonts w:hint="default" w:ascii="Symbol" w:hAnsi="Symbol"/>
        <w:color w:val="auto"/>
      </w:rPr>
    </w:lvl>
    <w:lvl w:ilvl="3" w:tentative="0">
      <w:start w:val="1"/>
      <w:numFmt w:val="decimal"/>
      <w:lvlText w:val="%4."/>
      <w:lvlJc w:val="left"/>
      <w:pPr>
        <w:tabs>
          <w:tab w:val="left" w:pos="2072"/>
        </w:tabs>
        <w:ind w:left="1885" w:hanging="528"/>
      </w:pPr>
      <w:rPr>
        <w:rFonts w:hint="eastAsia"/>
      </w:rPr>
    </w:lvl>
    <w:lvl w:ilvl="4" w:tentative="0">
      <w:start w:val="1"/>
      <w:numFmt w:val="lowerLetter"/>
      <w:lvlText w:val="%5)"/>
      <w:lvlJc w:val="left"/>
      <w:pPr>
        <w:tabs>
          <w:tab w:val="left" w:pos="2384"/>
        </w:tabs>
        <w:ind w:left="2197" w:hanging="528"/>
      </w:pPr>
      <w:rPr>
        <w:rFonts w:hint="eastAsia"/>
      </w:rPr>
    </w:lvl>
    <w:lvl w:ilvl="5" w:tentative="0">
      <w:start w:val="1"/>
      <w:numFmt w:val="lowerRoman"/>
      <w:lvlText w:val="%6."/>
      <w:lvlJc w:val="right"/>
      <w:pPr>
        <w:tabs>
          <w:tab w:val="left" w:pos="2696"/>
        </w:tabs>
        <w:ind w:left="2509" w:hanging="528"/>
      </w:pPr>
      <w:rPr>
        <w:rFonts w:hint="eastAsia"/>
      </w:rPr>
    </w:lvl>
    <w:lvl w:ilvl="6" w:tentative="0">
      <w:start w:val="1"/>
      <w:numFmt w:val="decimal"/>
      <w:lvlText w:val="%7."/>
      <w:lvlJc w:val="left"/>
      <w:pPr>
        <w:tabs>
          <w:tab w:val="left" w:pos="3008"/>
        </w:tabs>
        <w:ind w:left="2821" w:hanging="528"/>
      </w:pPr>
      <w:rPr>
        <w:rFonts w:hint="eastAsia"/>
      </w:rPr>
    </w:lvl>
    <w:lvl w:ilvl="7" w:tentative="0">
      <w:start w:val="1"/>
      <w:numFmt w:val="lowerLetter"/>
      <w:lvlText w:val="%8)"/>
      <w:lvlJc w:val="left"/>
      <w:pPr>
        <w:tabs>
          <w:tab w:val="left" w:pos="3320"/>
        </w:tabs>
        <w:ind w:left="3133" w:hanging="528"/>
      </w:pPr>
      <w:rPr>
        <w:rFonts w:hint="eastAsia"/>
      </w:rPr>
    </w:lvl>
    <w:lvl w:ilvl="8" w:tentative="0">
      <w:start w:val="1"/>
      <w:numFmt w:val="lowerRoman"/>
      <w:lvlText w:val="%9."/>
      <w:lvlJc w:val="right"/>
      <w:pPr>
        <w:tabs>
          <w:tab w:val="left" w:pos="3632"/>
        </w:tabs>
        <w:ind w:left="3445" w:hanging="528"/>
      </w:pPr>
      <w:rPr>
        <w:rFonts w:hint="eastAsia"/>
      </w:rPr>
    </w:lvl>
  </w:abstractNum>
  <w:abstractNum w:abstractNumId="4">
    <w:nsid w:val="0000000F"/>
    <w:multiLevelType w:val="multilevel"/>
    <w:tmpl w:val="0000000F"/>
    <w:lvl w:ilvl="0" w:tentative="0">
      <w:start w:val="1"/>
      <w:numFmt w:val="lowerLetter"/>
      <w:pStyle w:val="13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00000011"/>
    <w:multiLevelType w:val="multilevel"/>
    <w:tmpl w:val="00000011"/>
    <w:lvl w:ilvl="0" w:tentative="0">
      <w:start w:val="1"/>
      <w:numFmt w:val="decimal"/>
      <w:pStyle w:val="6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0000013"/>
    <w:multiLevelType w:val="multilevel"/>
    <w:tmpl w:val="00000013"/>
    <w:lvl w:ilvl="0" w:tentative="0">
      <w:start w:val="1"/>
      <w:numFmt w:val="upperLetter"/>
      <w:pStyle w:val="93"/>
      <w:suff w:val="nothing"/>
      <w:lvlText w:val="附　录　%1"/>
      <w:lvlJc w:val="left"/>
      <w:pPr>
        <w:ind w:left="0" w:firstLine="0"/>
      </w:pPr>
      <w:rPr>
        <w:rFonts w:hint="eastAsia" w:ascii="黑体" w:hAnsi="Times New Roman" w:eastAsia="黑体"/>
        <w:b w:val="0"/>
        <w:i w:val="0"/>
        <w:color w:val="auto"/>
        <w:spacing w:val="0"/>
        <w:w w:val="100"/>
        <w:sz w:val="21"/>
      </w:rPr>
    </w:lvl>
    <w:lvl w:ilvl="1" w:tentative="0">
      <w:start w:val="1"/>
      <w:numFmt w:val="decimal"/>
      <w:pStyle w:val="11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97"/>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00000015"/>
    <w:multiLevelType w:val="multilevel"/>
    <w:tmpl w:val="00000015"/>
    <w:lvl w:ilvl="0" w:tentative="0">
      <w:start w:val="1"/>
      <w:numFmt w:val="upperLetter"/>
      <w:pStyle w:val="107"/>
      <w:suff w:val="space"/>
      <w:lvlText w:val="%1"/>
      <w:lvlJc w:val="left"/>
      <w:pPr>
        <w:ind w:left="623" w:hanging="425"/>
      </w:pPr>
      <w:rPr>
        <w:rFonts w:hint="eastAsia"/>
      </w:rPr>
    </w:lvl>
    <w:lvl w:ilvl="1" w:tentative="0">
      <w:start w:val="1"/>
      <w:numFmt w:val="decimal"/>
      <w:pStyle w:val="10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00000016"/>
    <w:multiLevelType w:val="multilevel"/>
    <w:tmpl w:val="00000016"/>
    <w:lvl w:ilvl="0" w:tentative="0">
      <w:start w:val="1"/>
      <w:numFmt w:val="decimal"/>
      <w:pStyle w:val="7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9">
    <w:nsid w:val="00000018"/>
    <w:multiLevelType w:val="multilevel"/>
    <w:tmpl w:val="00000018"/>
    <w:lvl w:ilvl="0" w:tentative="0">
      <w:start w:val="1"/>
      <w:numFmt w:val="none"/>
      <w:pStyle w:val="61"/>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0">
    <w:nsid w:val="00000019"/>
    <w:multiLevelType w:val="multilevel"/>
    <w:tmpl w:val="00000019"/>
    <w:lvl w:ilvl="0" w:tentative="0">
      <w:start w:val="1"/>
      <w:numFmt w:val="decimal"/>
      <w:pStyle w:val="125"/>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0000001B"/>
    <w:multiLevelType w:val="multilevel"/>
    <w:tmpl w:val="0000001B"/>
    <w:lvl w:ilvl="0" w:tentative="0">
      <w:start w:val="1"/>
      <w:numFmt w:val="upperLetter"/>
      <w:pStyle w:val="95"/>
      <w:lvlText w:val="%1"/>
      <w:lvlJc w:val="left"/>
      <w:pPr>
        <w:tabs>
          <w:tab w:val="left" w:pos="0"/>
        </w:tabs>
        <w:ind w:left="0" w:hanging="425"/>
      </w:pPr>
      <w:rPr>
        <w:rFonts w:hint="eastAsia"/>
      </w:rPr>
    </w:lvl>
    <w:lvl w:ilvl="1" w:tentative="0">
      <w:start w:val="1"/>
      <w:numFmt w:val="decimal"/>
      <w:pStyle w:val="9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0000001F"/>
    <w:multiLevelType w:val="multilevel"/>
    <w:tmpl w:val="0000001F"/>
    <w:lvl w:ilvl="0" w:tentative="0">
      <w:start w:val="1"/>
      <w:numFmt w:val="none"/>
      <w:pStyle w:val="66"/>
      <w:suff w:val="nothing"/>
      <w:lvlText w:val="%1注："/>
      <w:lvlJc w:val="left"/>
      <w:pPr>
        <w:ind w:left="363" w:hanging="363"/>
      </w:pPr>
      <w:rPr>
        <w:rFonts w:hint="eastAsia" w:ascii="黑体" w:hAnsi="Times New Roman" w:eastAsia="黑体"/>
        <w:b w:val="0"/>
        <w:i w:val="0"/>
        <w:sz w:val="18"/>
      </w:rPr>
    </w:lvl>
    <w:lvl w:ilvl="1" w:tentative="0">
      <w:start w:val="1"/>
      <w:numFmt w:val="lowerLetter"/>
      <w:lvlText w:val="%2)"/>
      <w:lvlJc w:val="left"/>
      <w:pPr>
        <w:tabs>
          <w:tab w:val="left" w:pos="777"/>
        </w:tabs>
        <w:ind w:left="363" w:hanging="363"/>
      </w:pPr>
      <w:rPr>
        <w:rFonts w:hint="eastAsia"/>
      </w:rPr>
    </w:lvl>
    <w:lvl w:ilvl="2" w:tentative="0">
      <w:start w:val="1"/>
      <w:numFmt w:val="lowerRoman"/>
      <w:lvlText w:val="%3."/>
      <w:lvlJc w:val="right"/>
      <w:pPr>
        <w:tabs>
          <w:tab w:val="left" w:pos="777"/>
        </w:tabs>
        <w:ind w:left="363" w:hanging="363"/>
      </w:pPr>
      <w:rPr>
        <w:rFonts w:hint="eastAsia"/>
      </w:rPr>
    </w:lvl>
    <w:lvl w:ilvl="3" w:tentative="0">
      <w:start w:val="1"/>
      <w:numFmt w:val="decimal"/>
      <w:lvlText w:val="%4."/>
      <w:lvlJc w:val="left"/>
      <w:pPr>
        <w:tabs>
          <w:tab w:val="left" w:pos="777"/>
        </w:tabs>
        <w:ind w:left="363" w:hanging="363"/>
      </w:pPr>
      <w:rPr>
        <w:rFonts w:hint="eastAsia"/>
      </w:rPr>
    </w:lvl>
    <w:lvl w:ilvl="4" w:tentative="0">
      <w:start w:val="1"/>
      <w:numFmt w:val="lowerLetter"/>
      <w:lvlText w:val="%5)"/>
      <w:lvlJc w:val="left"/>
      <w:pPr>
        <w:tabs>
          <w:tab w:val="left" w:pos="777"/>
        </w:tabs>
        <w:ind w:left="363" w:hanging="363"/>
      </w:pPr>
      <w:rPr>
        <w:rFonts w:hint="eastAsia"/>
      </w:rPr>
    </w:lvl>
    <w:lvl w:ilvl="5" w:tentative="0">
      <w:start w:val="1"/>
      <w:numFmt w:val="lowerRoman"/>
      <w:lvlText w:val="%6."/>
      <w:lvlJc w:val="right"/>
      <w:pPr>
        <w:tabs>
          <w:tab w:val="left" w:pos="777"/>
        </w:tabs>
        <w:ind w:left="363" w:hanging="363"/>
      </w:pPr>
      <w:rPr>
        <w:rFonts w:hint="eastAsia"/>
      </w:rPr>
    </w:lvl>
    <w:lvl w:ilvl="6" w:tentative="0">
      <w:start w:val="1"/>
      <w:numFmt w:val="decimal"/>
      <w:lvlText w:val="%7."/>
      <w:lvlJc w:val="left"/>
      <w:pPr>
        <w:tabs>
          <w:tab w:val="left" w:pos="777"/>
        </w:tabs>
        <w:ind w:left="363" w:hanging="363"/>
      </w:pPr>
      <w:rPr>
        <w:rFonts w:hint="eastAsia"/>
      </w:rPr>
    </w:lvl>
    <w:lvl w:ilvl="7" w:tentative="0">
      <w:start w:val="1"/>
      <w:numFmt w:val="lowerLetter"/>
      <w:lvlText w:val="%8)"/>
      <w:lvlJc w:val="left"/>
      <w:pPr>
        <w:tabs>
          <w:tab w:val="left" w:pos="777"/>
        </w:tabs>
        <w:ind w:left="363" w:hanging="363"/>
      </w:pPr>
      <w:rPr>
        <w:rFonts w:hint="eastAsia"/>
      </w:rPr>
    </w:lvl>
    <w:lvl w:ilvl="8" w:tentative="0">
      <w:start w:val="1"/>
      <w:numFmt w:val="lowerRoman"/>
      <w:lvlText w:val="%9."/>
      <w:lvlJc w:val="right"/>
      <w:pPr>
        <w:tabs>
          <w:tab w:val="left" w:pos="777"/>
        </w:tabs>
        <w:ind w:left="363" w:hanging="363"/>
      </w:pPr>
      <w:rPr>
        <w:rFonts w:hint="eastAsia"/>
      </w:rPr>
    </w:lvl>
  </w:abstractNum>
  <w:abstractNum w:abstractNumId="13">
    <w:nsid w:val="00000024"/>
    <w:multiLevelType w:val="multilevel"/>
    <w:tmpl w:val="00000024"/>
    <w:lvl w:ilvl="0" w:tentative="0">
      <w:start w:val="1"/>
      <w:numFmt w:val="lowerLetter"/>
      <w:pStyle w:val="114"/>
      <w:lvlText w:val="%1)"/>
      <w:lvlJc w:val="left"/>
      <w:pPr>
        <w:tabs>
          <w:tab w:val="left" w:pos="839"/>
        </w:tabs>
        <w:ind w:left="839" w:hanging="419"/>
      </w:pPr>
      <w:rPr>
        <w:rFonts w:hint="eastAsia" w:ascii="宋体" w:eastAsia="宋体"/>
        <w:b w:val="0"/>
        <w:i w:val="0"/>
        <w:sz w:val="21"/>
      </w:rPr>
    </w:lvl>
    <w:lvl w:ilvl="1" w:tentative="0">
      <w:start w:val="1"/>
      <w:numFmt w:val="decimal"/>
      <w:pStyle w:val="10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4">
    <w:nsid w:val="00000025"/>
    <w:multiLevelType w:val="multilevel"/>
    <w:tmpl w:val="00000025"/>
    <w:lvl w:ilvl="0" w:tentative="0">
      <w:start w:val="1"/>
      <w:numFmt w:val="decimal"/>
      <w:pStyle w:val="54"/>
      <w:suff w:val="nothing"/>
      <w:lvlText w:val="%1　"/>
      <w:lvlJc w:val="left"/>
      <w:pPr>
        <w:ind w:left="2411"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vanish w:val="0"/>
        <w:color w:val="000000"/>
        <w:spacing w:val="0"/>
        <w:kern w:val="0"/>
        <w:position w:val="0"/>
        <w:sz w:val="21"/>
        <w:szCs w:val="21"/>
        <w:u w:val="none"/>
        <w:vertAlign w:val="baseline"/>
      </w:rPr>
    </w:lvl>
    <w:lvl w:ilvl="2" w:tentative="0">
      <w:start w:val="1"/>
      <w:numFmt w:val="decimal"/>
      <w:pStyle w:val="55"/>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2551"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00000026"/>
    <w:multiLevelType w:val="multilevel"/>
    <w:tmpl w:val="00000026"/>
    <w:lvl w:ilvl="0" w:tentative="0">
      <w:start w:val="1"/>
      <w:numFmt w:val="lowerLetter"/>
      <w:pStyle w:val="68"/>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63"/>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70"/>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6">
    <w:nsid w:val="694B41CE"/>
    <w:multiLevelType w:val="multilevel"/>
    <w:tmpl w:val="694B41CE"/>
    <w:lvl w:ilvl="0" w:tentative="0">
      <w:start w:val="1"/>
      <w:numFmt w:val="decimal"/>
      <w:pStyle w:val="74"/>
      <w:suff w:val="nothing"/>
      <w:lvlText w:val="注%1："/>
      <w:lvlJc w:val="left"/>
      <w:pPr>
        <w:ind w:left="811" w:hanging="448"/>
      </w:pPr>
      <w:rPr>
        <w:rFonts w:hint="eastAsia" w:ascii="黑体" w:hAnsi="宋体" w:eastAsia="黑体"/>
        <w:b w:val="0"/>
        <w:bCs w:val="0"/>
        <w:i w:val="0"/>
        <w:iCs w:val="0"/>
        <w:sz w:val="18"/>
        <w:szCs w:val="21"/>
        <w:vertAlign w:val="baseline"/>
      </w:rPr>
    </w:lvl>
    <w:lvl w:ilvl="1" w:tentative="0">
      <w:start w:val="1"/>
      <w:numFmt w:val="lowerLetter"/>
      <w:lvlText w:val="%2)"/>
      <w:lvlJc w:val="left"/>
      <w:pPr>
        <w:tabs>
          <w:tab w:val="left" w:pos="181"/>
        </w:tabs>
        <w:ind w:left="1174" w:hanging="630"/>
      </w:pPr>
      <w:rPr>
        <w:rFonts w:hint="eastAsia" w:ascii="宋体" w:hAnsi="宋体" w:eastAsia="宋体"/>
        <w:b w:val="0"/>
        <w:bCs w:val="0"/>
        <w:i w:val="0"/>
        <w:iCs w:val="0"/>
        <w:sz w:val="20"/>
        <w:szCs w:val="20"/>
        <w:vertAlign w:val="baseline"/>
      </w:rPr>
    </w:lvl>
    <w:lvl w:ilvl="2" w:tentative="0">
      <w:start w:val="1"/>
      <w:numFmt w:val="lowerRoman"/>
      <w:lvlText w:val="%3."/>
      <w:lvlJc w:val="right"/>
      <w:pPr>
        <w:tabs>
          <w:tab w:val="left" w:pos="181"/>
        </w:tabs>
        <w:ind w:left="1174" w:hanging="630"/>
      </w:pPr>
      <w:rPr>
        <w:rFonts w:hint="eastAsia" w:ascii="宋体" w:hAnsi="宋体" w:eastAsia="宋体"/>
        <w:b w:val="0"/>
        <w:bCs w:val="0"/>
        <w:i w:val="0"/>
        <w:iCs w:val="0"/>
        <w:sz w:val="21"/>
        <w:szCs w:val="21"/>
        <w:vertAlign w:val="baseline"/>
      </w:rPr>
    </w:lvl>
    <w:lvl w:ilvl="3" w:tentative="0">
      <w:start w:val="1"/>
      <w:numFmt w:val="decimal"/>
      <w:lvlText w:val="%4."/>
      <w:lvlJc w:val="left"/>
      <w:pPr>
        <w:tabs>
          <w:tab w:val="left" w:pos="181"/>
        </w:tabs>
        <w:ind w:left="1174" w:hanging="630"/>
      </w:pPr>
      <w:rPr>
        <w:rFonts w:hint="default"/>
        <w:vertAlign w:val="baseline"/>
      </w:rPr>
    </w:lvl>
    <w:lvl w:ilvl="4" w:tentative="0">
      <w:start w:val="1"/>
      <w:numFmt w:val="lowerLetter"/>
      <w:lvlText w:val="%5)"/>
      <w:lvlJc w:val="left"/>
      <w:pPr>
        <w:tabs>
          <w:tab w:val="left" w:pos="181"/>
        </w:tabs>
        <w:ind w:left="1174" w:hanging="630"/>
      </w:pPr>
      <w:rPr>
        <w:rFonts w:hint="default"/>
        <w:vertAlign w:val="baseline"/>
      </w:rPr>
    </w:lvl>
    <w:lvl w:ilvl="5" w:tentative="0">
      <w:start w:val="1"/>
      <w:numFmt w:val="lowerRoman"/>
      <w:lvlText w:val="%6."/>
      <w:lvlJc w:val="right"/>
      <w:pPr>
        <w:tabs>
          <w:tab w:val="left" w:pos="181"/>
        </w:tabs>
        <w:ind w:left="1174" w:hanging="630"/>
      </w:pPr>
      <w:rPr>
        <w:rFonts w:hint="default"/>
        <w:vertAlign w:val="baseline"/>
      </w:rPr>
    </w:lvl>
    <w:lvl w:ilvl="6" w:tentative="0">
      <w:start w:val="1"/>
      <w:numFmt w:val="decimal"/>
      <w:lvlText w:val="%7."/>
      <w:lvlJc w:val="left"/>
      <w:pPr>
        <w:tabs>
          <w:tab w:val="left" w:pos="181"/>
        </w:tabs>
        <w:ind w:left="1174" w:hanging="630"/>
      </w:pPr>
      <w:rPr>
        <w:rFonts w:hint="default"/>
        <w:vertAlign w:val="baseline"/>
      </w:rPr>
    </w:lvl>
    <w:lvl w:ilvl="7" w:tentative="0">
      <w:start w:val="1"/>
      <w:numFmt w:val="lowerLetter"/>
      <w:lvlText w:val="%8)"/>
      <w:lvlJc w:val="left"/>
      <w:pPr>
        <w:tabs>
          <w:tab w:val="left" w:pos="181"/>
        </w:tabs>
        <w:ind w:left="1174" w:hanging="630"/>
      </w:pPr>
      <w:rPr>
        <w:rFonts w:hint="default"/>
        <w:vertAlign w:val="baseline"/>
      </w:rPr>
    </w:lvl>
    <w:lvl w:ilvl="8" w:tentative="0">
      <w:start w:val="1"/>
      <w:numFmt w:val="lowerRoman"/>
      <w:lvlText w:val="%9."/>
      <w:lvlJc w:val="right"/>
      <w:pPr>
        <w:tabs>
          <w:tab w:val="left" w:pos="181"/>
        </w:tabs>
        <w:ind w:left="1174" w:hanging="630"/>
      </w:pPr>
      <w:rPr>
        <w:rFonts w:hint="default"/>
        <w:vertAlign w:val="baseline"/>
      </w:rPr>
    </w:lvl>
  </w:abstractNum>
  <w:num w:numId="1">
    <w:abstractNumId w:val="2"/>
  </w:num>
  <w:num w:numId="2">
    <w:abstractNumId w:val="14"/>
  </w:num>
  <w:num w:numId="3">
    <w:abstractNumId w:val="3"/>
  </w:num>
  <w:num w:numId="4">
    <w:abstractNumId w:val="9"/>
  </w:num>
  <w:num w:numId="5">
    <w:abstractNumId w:val="15"/>
  </w:num>
  <w:num w:numId="6">
    <w:abstractNumId w:val="12"/>
  </w:num>
  <w:num w:numId="7">
    <w:abstractNumId w:val="5"/>
  </w:num>
  <w:num w:numId="8">
    <w:abstractNumId w:val="8"/>
  </w:num>
  <w:num w:numId="9">
    <w:abstractNumId w:val="16"/>
  </w:num>
  <w:num w:numId="10">
    <w:abstractNumId w:val="6"/>
  </w:num>
  <w:num w:numId="11">
    <w:abstractNumId w:val="11"/>
  </w:num>
  <w:num w:numId="12">
    <w:abstractNumId w:val="13"/>
  </w:num>
  <w:num w:numId="13">
    <w:abstractNumId w:val="7"/>
  </w:num>
  <w:num w:numId="14">
    <w:abstractNumId w:val="10"/>
  </w:num>
  <w:num w:numId="15">
    <w:abstractNumId w:val="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93E"/>
    <w:rsid w:val="000501A9"/>
    <w:rsid w:val="0006505B"/>
    <w:rsid w:val="000C412E"/>
    <w:rsid w:val="000E6C60"/>
    <w:rsid w:val="00161B49"/>
    <w:rsid w:val="001A29CB"/>
    <w:rsid w:val="001B2F80"/>
    <w:rsid w:val="001D2238"/>
    <w:rsid w:val="0020393E"/>
    <w:rsid w:val="00214899"/>
    <w:rsid w:val="002823E2"/>
    <w:rsid w:val="002A0D1D"/>
    <w:rsid w:val="002C3835"/>
    <w:rsid w:val="002C7150"/>
    <w:rsid w:val="003343D4"/>
    <w:rsid w:val="00342E7A"/>
    <w:rsid w:val="00344713"/>
    <w:rsid w:val="00393906"/>
    <w:rsid w:val="003E1950"/>
    <w:rsid w:val="003E2797"/>
    <w:rsid w:val="00447F03"/>
    <w:rsid w:val="0053472E"/>
    <w:rsid w:val="005546E2"/>
    <w:rsid w:val="00573611"/>
    <w:rsid w:val="00581928"/>
    <w:rsid w:val="005F5DC9"/>
    <w:rsid w:val="00620620"/>
    <w:rsid w:val="00642638"/>
    <w:rsid w:val="00652E11"/>
    <w:rsid w:val="006A6272"/>
    <w:rsid w:val="006B123E"/>
    <w:rsid w:val="006B5E71"/>
    <w:rsid w:val="006C5859"/>
    <w:rsid w:val="00740F46"/>
    <w:rsid w:val="007B3249"/>
    <w:rsid w:val="00873B7F"/>
    <w:rsid w:val="008B170C"/>
    <w:rsid w:val="008C3E2C"/>
    <w:rsid w:val="009041FD"/>
    <w:rsid w:val="00907228"/>
    <w:rsid w:val="00934243"/>
    <w:rsid w:val="009C714C"/>
    <w:rsid w:val="009F3893"/>
    <w:rsid w:val="00A055B8"/>
    <w:rsid w:val="00A419F8"/>
    <w:rsid w:val="00A87BA7"/>
    <w:rsid w:val="00AA5439"/>
    <w:rsid w:val="00AB675C"/>
    <w:rsid w:val="00AD6604"/>
    <w:rsid w:val="00AF1493"/>
    <w:rsid w:val="00B12FDB"/>
    <w:rsid w:val="00B50DBA"/>
    <w:rsid w:val="00B564AE"/>
    <w:rsid w:val="00C22BCF"/>
    <w:rsid w:val="00C46941"/>
    <w:rsid w:val="00CC236D"/>
    <w:rsid w:val="00CC6AD5"/>
    <w:rsid w:val="00CD2391"/>
    <w:rsid w:val="00CF683E"/>
    <w:rsid w:val="00D03DB8"/>
    <w:rsid w:val="00D55BAE"/>
    <w:rsid w:val="00E45083"/>
    <w:rsid w:val="00E451EA"/>
    <w:rsid w:val="00E64CE6"/>
    <w:rsid w:val="00EB62DC"/>
    <w:rsid w:val="00EF58D8"/>
    <w:rsid w:val="00F12841"/>
    <w:rsid w:val="00F25C2A"/>
    <w:rsid w:val="00F342CC"/>
    <w:rsid w:val="00F965B8"/>
    <w:rsid w:val="00FE1707"/>
    <w:rsid w:val="03B82576"/>
    <w:rsid w:val="0AD27AAB"/>
    <w:rsid w:val="1AC56AC9"/>
    <w:rsid w:val="29D953B9"/>
    <w:rsid w:val="2CF413E1"/>
    <w:rsid w:val="69060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8"/>
    <w:qFormat/>
    <w:uiPriority w:val="0"/>
    <w:pPr>
      <w:keepNext/>
      <w:keepLines/>
      <w:spacing w:before="260" w:after="260" w:line="416" w:lineRule="auto"/>
      <w:ind w:left="576" w:hanging="576"/>
      <w:outlineLvl w:val="1"/>
    </w:pPr>
    <w:rPr>
      <w:rFonts w:ascii="Arial" w:hAnsi="Arial"/>
      <w:b/>
      <w:bCs/>
      <w:kern w:val="0"/>
      <w:sz w:val="32"/>
      <w:szCs w:val="32"/>
    </w:rPr>
  </w:style>
  <w:style w:type="paragraph" w:styleId="4">
    <w:name w:val="heading 3"/>
    <w:basedOn w:val="1"/>
    <w:next w:val="1"/>
    <w:link w:val="159"/>
    <w:qFormat/>
    <w:uiPriority w:val="9"/>
    <w:pPr>
      <w:keepNext/>
      <w:keepLines/>
      <w:widowControl/>
      <w:spacing w:before="260" w:after="260" w:line="416" w:lineRule="auto"/>
      <w:jc w:val="left"/>
      <w:outlineLvl w:val="2"/>
    </w:pPr>
    <w:rPr>
      <w:rFonts w:ascii="Helvetica" w:hAnsi="Helvetica" w:eastAsia="Arial Unicode MS"/>
      <w:b/>
      <w:bCs/>
      <w:color w:val="000000"/>
      <w:kern w:val="0"/>
      <w:sz w:val="32"/>
      <w:szCs w:val="32"/>
      <w:lang w:val="zh-CN"/>
    </w:rPr>
  </w:style>
  <w:style w:type="paragraph" w:styleId="5">
    <w:name w:val="heading 4"/>
    <w:basedOn w:val="1"/>
    <w:next w:val="1"/>
    <w:link w:val="160"/>
    <w:qFormat/>
    <w:uiPriority w:val="9"/>
    <w:pPr>
      <w:keepNext/>
      <w:keepLines/>
      <w:widowControl/>
      <w:spacing w:before="280" w:after="290" w:line="376" w:lineRule="auto"/>
      <w:ind w:left="420"/>
      <w:jc w:val="left"/>
      <w:outlineLvl w:val="3"/>
    </w:pPr>
    <w:rPr>
      <w:rFonts w:ascii="Helvetica" w:hAnsi="Helvetica" w:eastAsia="黑体"/>
      <w:bCs/>
      <w:color w:val="000000" w:themeColor="text1"/>
      <w:kern w:val="0"/>
      <w:szCs w:val="28"/>
      <w:lang w:val="zh-CN"/>
      <w14:textFill>
        <w14:solidFill>
          <w14:schemeClr w14:val="tx1"/>
        </w14:solidFill>
      </w14:textFill>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tabs>
        <w:tab w:val="right" w:leader="dot" w:pos="9241"/>
      </w:tabs>
      <w:ind w:firstLine="500" w:firstLineChars="500"/>
      <w:jc w:val="left"/>
    </w:pPr>
    <w:rPr>
      <w:rFonts w:ascii="宋体"/>
      <w:szCs w:val="21"/>
    </w:rPr>
  </w:style>
  <w:style w:type="paragraph" w:styleId="7">
    <w:name w:val="index 8"/>
    <w:basedOn w:val="1"/>
    <w:next w:val="1"/>
    <w:qFormat/>
    <w:uiPriority w:val="0"/>
    <w:pPr>
      <w:ind w:left="1680" w:hanging="210"/>
      <w:jc w:val="left"/>
    </w:pPr>
    <w:rPr>
      <w:rFonts w:ascii="Calibri" w:hAnsi="Calibri"/>
      <w:sz w:val="20"/>
      <w:szCs w:val="20"/>
    </w:rPr>
  </w:style>
  <w:style w:type="paragraph" w:styleId="8">
    <w:name w:val="caption"/>
    <w:basedOn w:val="1"/>
    <w:next w:val="1"/>
    <w:qFormat/>
    <w:uiPriority w:val="0"/>
    <w:pPr>
      <w:spacing w:before="152" w:after="160"/>
    </w:pPr>
    <w:rPr>
      <w:rFonts w:ascii="Arial" w:hAnsi="Arial" w:eastAsia="黑体" w:cs="Arial"/>
      <w:sz w:val="20"/>
      <w:szCs w:val="20"/>
    </w:rPr>
  </w:style>
  <w:style w:type="paragraph" w:styleId="9">
    <w:name w:val="index 5"/>
    <w:basedOn w:val="1"/>
    <w:next w:val="1"/>
    <w:qFormat/>
    <w:uiPriority w:val="0"/>
    <w:pPr>
      <w:ind w:left="1050" w:hanging="210"/>
      <w:jc w:val="left"/>
    </w:pPr>
    <w:rPr>
      <w:rFonts w:ascii="Calibri" w:hAnsi="Calibri"/>
      <w:sz w:val="20"/>
      <w:szCs w:val="20"/>
    </w:rPr>
  </w:style>
  <w:style w:type="paragraph" w:styleId="10">
    <w:name w:val="Document Map"/>
    <w:basedOn w:val="1"/>
    <w:qFormat/>
    <w:uiPriority w:val="0"/>
    <w:pPr>
      <w:shd w:val="clear" w:color="auto" w:fill="000080"/>
    </w:pPr>
  </w:style>
  <w:style w:type="paragraph" w:styleId="11">
    <w:name w:val="annotation text"/>
    <w:basedOn w:val="1"/>
    <w:link w:val="148"/>
    <w:qFormat/>
    <w:uiPriority w:val="99"/>
    <w:pPr>
      <w:jc w:val="left"/>
    </w:pPr>
  </w:style>
  <w:style w:type="paragraph" w:styleId="12">
    <w:name w:val="index 6"/>
    <w:basedOn w:val="1"/>
    <w:next w:val="1"/>
    <w:qFormat/>
    <w:uiPriority w:val="0"/>
    <w:pPr>
      <w:ind w:left="1260" w:hanging="210"/>
      <w:jc w:val="left"/>
    </w:pPr>
    <w:rPr>
      <w:rFonts w:ascii="Calibri" w:hAnsi="Calibri"/>
      <w:sz w:val="20"/>
      <w:szCs w:val="20"/>
    </w:rPr>
  </w:style>
  <w:style w:type="paragraph" w:styleId="13">
    <w:name w:val="Body Text"/>
    <w:basedOn w:val="1"/>
    <w:qFormat/>
    <w:uiPriority w:val="0"/>
    <w:rPr>
      <w:rFonts w:ascii="Arial" w:hAnsi="Arial" w:cs="Arial"/>
      <w:b/>
      <w:bCs/>
    </w:rPr>
  </w:style>
  <w:style w:type="paragraph" w:styleId="14">
    <w:name w:val="Body Text Indent"/>
    <w:basedOn w:val="1"/>
    <w:link w:val="151"/>
    <w:qFormat/>
    <w:uiPriority w:val="0"/>
    <w:pPr>
      <w:spacing w:after="120"/>
      <w:ind w:left="420" w:leftChars="200"/>
    </w:pPr>
  </w:style>
  <w:style w:type="paragraph" w:styleId="15">
    <w:name w:val="index 4"/>
    <w:basedOn w:val="1"/>
    <w:next w:val="1"/>
    <w:qFormat/>
    <w:uiPriority w:val="0"/>
    <w:pPr>
      <w:ind w:left="840" w:hanging="210"/>
      <w:jc w:val="left"/>
    </w:pPr>
    <w:rPr>
      <w:rFonts w:ascii="Calibri" w:hAnsi="Calibri"/>
      <w:sz w:val="20"/>
      <w:szCs w:val="20"/>
    </w:rPr>
  </w:style>
  <w:style w:type="paragraph" w:styleId="16">
    <w:name w:val="toc 5"/>
    <w:basedOn w:val="1"/>
    <w:next w:val="1"/>
    <w:qFormat/>
    <w:uiPriority w:val="39"/>
    <w:pPr>
      <w:tabs>
        <w:tab w:val="right" w:leader="dot" w:pos="9241"/>
      </w:tabs>
      <w:ind w:firstLine="300" w:firstLineChars="300"/>
      <w:jc w:val="left"/>
    </w:pPr>
    <w:rPr>
      <w:rFonts w:ascii="宋体"/>
      <w:szCs w:val="21"/>
    </w:rPr>
  </w:style>
  <w:style w:type="paragraph" w:styleId="17">
    <w:name w:val="toc 3"/>
    <w:basedOn w:val="1"/>
    <w:next w:val="1"/>
    <w:qFormat/>
    <w:uiPriority w:val="39"/>
    <w:pPr>
      <w:tabs>
        <w:tab w:val="right" w:leader="dot" w:pos="9241"/>
      </w:tabs>
      <w:ind w:firstLine="100" w:firstLineChars="100"/>
      <w:jc w:val="left"/>
    </w:pPr>
    <w:rPr>
      <w:rFonts w:ascii="宋体"/>
      <w:szCs w:val="21"/>
    </w:rPr>
  </w:style>
  <w:style w:type="paragraph" w:styleId="18">
    <w:name w:val="toc 8"/>
    <w:basedOn w:val="1"/>
    <w:next w:val="1"/>
    <w:qFormat/>
    <w:uiPriority w:val="39"/>
    <w:pPr>
      <w:tabs>
        <w:tab w:val="right" w:leader="dot" w:pos="9241"/>
      </w:tabs>
      <w:ind w:firstLine="607" w:firstLineChars="600"/>
      <w:jc w:val="left"/>
    </w:pPr>
    <w:rPr>
      <w:rFonts w:ascii="宋体"/>
      <w:szCs w:val="21"/>
    </w:rPr>
  </w:style>
  <w:style w:type="paragraph" w:styleId="19">
    <w:name w:val="index 3"/>
    <w:basedOn w:val="1"/>
    <w:next w:val="1"/>
    <w:qFormat/>
    <w:uiPriority w:val="0"/>
    <w:pPr>
      <w:ind w:left="630" w:hanging="210"/>
      <w:jc w:val="left"/>
    </w:pPr>
    <w:rPr>
      <w:rFonts w:ascii="Calibri" w:hAnsi="Calibri"/>
      <w:sz w:val="20"/>
      <w:szCs w:val="20"/>
    </w:rPr>
  </w:style>
  <w:style w:type="paragraph" w:styleId="20">
    <w:name w:val="endnote text"/>
    <w:basedOn w:val="1"/>
    <w:qFormat/>
    <w:uiPriority w:val="0"/>
    <w:pPr>
      <w:snapToGrid w:val="0"/>
      <w:jc w:val="left"/>
    </w:pPr>
  </w:style>
  <w:style w:type="paragraph" w:styleId="21">
    <w:name w:val="Balloon Text"/>
    <w:basedOn w:val="1"/>
    <w:link w:val="147"/>
    <w:qFormat/>
    <w:uiPriority w:val="99"/>
    <w:rPr>
      <w:sz w:val="18"/>
      <w:szCs w:val="18"/>
    </w:rPr>
  </w:style>
  <w:style w:type="paragraph" w:styleId="22">
    <w:name w:val="footer"/>
    <w:basedOn w:val="1"/>
    <w:link w:val="155"/>
    <w:qFormat/>
    <w:uiPriority w:val="99"/>
    <w:pPr>
      <w:snapToGrid w:val="0"/>
      <w:ind w:right="210" w:rightChars="100"/>
      <w:jc w:val="right"/>
    </w:pPr>
    <w:rPr>
      <w:sz w:val="18"/>
      <w:szCs w:val="18"/>
    </w:rPr>
  </w:style>
  <w:style w:type="paragraph" w:styleId="23">
    <w:name w:val="header"/>
    <w:basedOn w:val="1"/>
    <w:link w:val="175"/>
    <w:qFormat/>
    <w:uiPriority w:val="99"/>
    <w:pPr>
      <w:snapToGrid w:val="0"/>
      <w:jc w:val="left"/>
    </w:pPr>
    <w:rPr>
      <w:sz w:val="18"/>
      <w:szCs w:val="18"/>
    </w:rPr>
  </w:style>
  <w:style w:type="paragraph" w:styleId="24">
    <w:name w:val="toc 1"/>
    <w:basedOn w:val="1"/>
    <w:next w:val="1"/>
    <w:qFormat/>
    <w:uiPriority w:val="39"/>
    <w:pPr>
      <w:tabs>
        <w:tab w:val="right" w:leader="dot" w:pos="9242"/>
      </w:tabs>
      <w:spacing w:beforeLines="25" w:afterLines="25"/>
      <w:jc w:val="left"/>
    </w:pPr>
    <w:rPr>
      <w:rFonts w:ascii="宋体"/>
      <w:szCs w:val="21"/>
    </w:rPr>
  </w:style>
  <w:style w:type="paragraph" w:styleId="25">
    <w:name w:val="toc 4"/>
    <w:basedOn w:val="1"/>
    <w:next w:val="1"/>
    <w:qFormat/>
    <w:uiPriority w:val="39"/>
    <w:pPr>
      <w:tabs>
        <w:tab w:val="right" w:leader="dot" w:pos="9241"/>
      </w:tabs>
      <w:ind w:firstLine="200" w:firstLineChars="200"/>
      <w:jc w:val="left"/>
    </w:pPr>
    <w:rPr>
      <w:rFonts w:ascii="宋体"/>
      <w:szCs w:val="21"/>
    </w:rPr>
  </w:style>
  <w:style w:type="paragraph" w:styleId="26">
    <w:name w:val="index heading"/>
    <w:basedOn w:val="1"/>
    <w:next w:val="27"/>
    <w:qFormat/>
    <w:uiPriority w:val="0"/>
    <w:pPr>
      <w:spacing w:before="120" w:after="120"/>
      <w:jc w:val="center"/>
    </w:pPr>
    <w:rPr>
      <w:rFonts w:ascii="Calibri" w:hAnsi="Calibri"/>
      <w:b/>
      <w:bCs/>
      <w:iCs/>
      <w:szCs w:val="20"/>
    </w:rPr>
  </w:style>
  <w:style w:type="paragraph" w:styleId="27">
    <w:name w:val="index 1"/>
    <w:basedOn w:val="1"/>
    <w:next w:val="28"/>
    <w:qFormat/>
    <w:uiPriority w:val="0"/>
    <w:pPr>
      <w:tabs>
        <w:tab w:val="right" w:leader="dot" w:pos="9299"/>
      </w:tabs>
      <w:jc w:val="left"/>
    </w:pPr>
    <w:rPr>
      <w:rFonts w:ascii="宋体"/>
      <w:szCs w:val="21"/>
    </w:rPr>
  </w:style>
  <w:style w:type="paragraph" w:customStyle="1" w:styleId="28">
    <w:name w:val="段"/>
    <w:link w:val="50"/>
    <w:qFormat/>
    <w:uiPriority w:val="0"/>
    <w:pPr>
      <w:tabs>
        <w:tab w:val="center" w:pos="420"/>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9">
    <w:name w:val="footnote text"/>
    <w:basedOn w:val="1"/>
    <w:qFormat/>
    <w:uiPriority w:val="0"/>
    <w:pPr>
      <w:numPr>
        <w:ilvl w:val="0"/>
        <w:numId w:val="1"/>
      </w:numPr>
      <w:snapToGrid w:val="0"/>
      <w:jc w:val="left"/>
    </w:pPr>
    <w:rPr>
      <w:rFonts w:ascii="宋体"/>
      <w:sz w:val="18"/>
      <w:szCs w:val="18"/>
    </w:rPr>
  </w:style>
  <w:style w:type="paragraph" w:styleId="30">
    <w:name w:val="toc 6"/>
    <w:basedOn w:val="1"/>
    <w:next w:val="1"/>
    <w:qFormat/>
    <w:uiPriority w:val="39"/>
    <w:pPr>
      <w:tabs>
        <w:tab w:val="right" w:leader="dot" w:pos="9241"/>
      </w:tabs>
      <w:ind w:firstLine="400" w:firstLineChars="400"/>
      <w:jc w:val="left"/>
    </w:pPr>
    <w:rPr>
      <w:rFonts w:ascii="宋体"/>
      <w:szCs w:val="21"/>
    </w:rPr>
  </w:style>
  <w:style w:type="paragraph" w:styleId="31">
    <w:name w:val="index 7"/>
    <w:basedOn w:val="1"/>
    <w:next w:val="1"/>
    <w:qFormat/>
    <w:uiPriority w:val="0"/>
    <w:pPr>
      <w:ind w:left="1470" w:hanging="210"/>
      <w:jc w:val="left"/>
    </w:pPr>
    <w:rPr>
      <w:rFonts w:ascii="Calibri" w:hAnsi="Calibri"/>
      <w:sz w:val="20"/>
      <w:szCs w:val="20"/>
    </w:rPr>
  </w:style>
  <w:style w:type="paragraph" w:styleId="32">
    <w:name w:val="index 9"/>
    <w:basedOn w:val="1"/>
    <w:next w:val="1"/>
    <w:qFormat/>
    <w:uiPriority w:val="0"/>
    <w:pPr>
      <w:ind w:left="1890" w:hanging="210"/>
      <w:jc w:val="left"/>
    </w:pPr>
    <w:rPr>
      <w:rFonts w:ascii="Calibri" w:hAnsi="Calibri"/>
      <w:sz w:val="20"/>
      <w:szCs w:val="20"/>
    </w:rPr>
  </w:style>
  <w:style w:type="paragraph" w:styleId="33">
    <w:name w:val="table of figures"/>
    <w:basedOn w:val="1"/>
    <w:next w:val="1"/>
    <w:unhideWhenUsed/>
    <w:qFormat/>
    <w:uiPriority w:val="99"/>
    <w:pPr>
      <w:ind w:left="200" w:hanging="200" w:hangingChars="200"/>
    </w:pPr>
  </w:style>
  <w:style w:type="paragraph" w:styleId="34">
    <w:name w:val="toc 2"/>
    <w:basedOn w:val="1"/>
    <w:next w:val="1"/>
    <w:qFormat/>
    <w:uiPriority w:val="39"/>
    <w:pPr>
      <w:tabs>
        <w:tab w:val="right" w:leader="dot" w:pos="9242"/>
      </w:tabs>
    </w:pPr>
    <w:rPr>
      <w:rFonts w:ascii="宋体"/>
      <w:szCs w:val="21"/>
    </w:rPr>
  </w:style>
  <w:style w:type="paragraph" w:styleId="35">
    <w:name w:val="toc 9"/>
    <w:basedOn w:val="1"/>
    <w:next w:val="1"/>
    <w:qFormat/>
    <w:uiPriority w:val="39"/>
    <w:pPr>
      <w:ind w:left="1470"/>
      <w:jc w:val="left"/>
    </w:pPr>
    <w:rPr>
      <w:sz w:val="20"/>
      <w:szCs w:val="20"/>
    </w:rPr>
  </w:style>
  <w:style w:type="paragraph" w:styleId="36">
    <w:name w:val="HTML Preformatted"/>
    <w:basedOn w:val="1"/>
    <w:link w:val="176"/>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2"/>
    <w:basedOn w:val="1"/>
    <w:next w:val="1"/>
    <w:qFormat/>
    <w:uiPriority w:val="0"/>
    <w:pPr>
      <w:ind w:left="420" w:hanging="210"/>
      <w:jc w:val="left"/>
    </w:pPr>
    <w:rPr>
      <w:rFonts w:ascii="Calibri" w:hAnsi="Calibri"/>
      <w:sz w:val="20"/>
      <w:szCs w:val="20"/>
    </w:rPr>
  </w:style>
  <w:style w:type="paragraph" w:styleId="39">
    <w:name w:val="annotation subject"/>
    <w:basedOn w:val="11"/>
    <w:next w:val="11"/>
    <w:link w:val="149"/>
    <w:qFormat/>
    <w:uiPriority w:val="99"/>
    <w:rPr>
      <w:b/>
      <w:bCs/>
    </w:rPr>
  </w:style>
  <w:style w:type="table" w:styleId="41">
    <w:name w:val="Table Grid"/>
    <w:basedOn w:val="40"/>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3">
    <w:name w:val="endnote reference"/>
    <w:qFormat/>
    <w:uiPriority w:val="0"/>
    <w:rPr>
      <w:vertAlign w:val="superscript"/>
    </w:rPr>
  </w:style>
  <w:style w:type="character" w:styleId="44">
    <w:name w:val="page number"/>
    <w:qFormat/>
    <w:uiPriority w:val="0"/>
    <w:rPr>
      <w:rFonts w:ascii="Times New Roman" w:hAnsi="Times New Roman" w:eastAsia="宋体"/>
      <w:sz w:val="18"/>
    </w:rPr>
  </w:style>
  <w:style w:type="character" w:styleId="45">
    <w:name w:val="FollowedHyperlink"/>
    <w:qFormat/>
    <w:uiPriority w:val="0"/>
    <w:rPr>
      <w:color w:val="800080"/>
      <w:u w:val="single"/>
    </w:rPr>
  </w:style>
  <w:style w:type="character" w:styleId="46">
    <w:name w:val="Emphasis"/>
    <w:basedOn w:val="42"/>
    <w:qFormat/>
    <w:uiPriority w:val="20"/>
    <w:rPr>
      <w:i/>
      <w:iCs/>
    </w:rPr>
  </w:style>
  <w:style w:type="character" w:styleId="47">
    <w:name w:val="Hyperlink"/>
    <w:qFormat/>
    <w:uiPriority w:val="99"/>
    <w:rPr>
      <w:color w:val="0000FF"/>
      <w:spacing w:val="0"/>
      <w:w w:val="100"/>
      <w:szCs w:val="21"/>
      <w:u w:val="single"/>
    </w:rPr>
  </w:style>
  <w:style w:type="character" w:styleId="48">
    <w:name w:val="annotation reference"/>
    <w:qFormat/>
    <w:uiPriority w:val="99"/>
    <w:rPr>
      <w:sz w:val="21"/>
      <w:szCs w:val="21"/>
    </w:rPr>
  </w:style>
  <w:style w:type="character" w:styleId="49">
    <w:name w:val="footnote reference"/>
    <w:qFormat/>
    <w:uiPriority w:val="0"/>
    <w:rPr>
      <w:vertAlign w:val="superscript"/>
    </w:rPr>
  </w:style>
  <w:style w:type="character" w:customStyle="1" w:styleId="50">
    <w:name w:val="段 Char"/>
    <w:link w:val="28"/>
    <w:qFormat/>
    <w:uiPriority w:val="0"/>
    <w:rPr>
      <w:rFonts w:ascii="宋体"/>
      <w:sz w:val="21"/>
    </w:rPr>
  </w:style>
  <w:style w:type="paragraph" w:customStyle="1" w:styleId="51">
    <w:name w:val="一级条标题"/>
    <w:next w:val="28"/>
    <w:link w:val="174"/>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5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4">
    <w:name w:val="章标题"/>
    <w:next w:val="28"/>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5">
    <w:name w:val="二级条标题"/>
    <w:basedOn w:val="51"/>
    <w:next w:val="28"/>
    <w:link w:val="180"/>
    <w:qFormat/>
    <w:uiPriority w:val="99"/>
    <w:pPr>
      <w:numPr>
        <w:ilvl w:val="2"/>
        <w:numId w:val="2"/>
      </w:numPr>
      <w:spacing w:before="50" w:after="50"/>
      <w:outlineLvl w:val="3"/>
    </w:pPr>
  </w:style>
  <w:style w:type="paragraph" w:customStyle="1" w:styleId="56">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7">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8">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9">
    <w:name w:val="目次、标准名称标题"/>
    <w:basedOn w:val="1"/>
    <w:next w:val="28"/>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0">
    <w:name w:val="三级条标题"/>
    <w:basedOn w:val="55"/>
    <w:next w:val="28"/>
    <w:qFormat/>
    <w:uiPriority w:val="0"/>
    <w:pPr>
      <w:numPr>
        <w:ilvl w:val="3"/>
        <w:numId w:val="0"/>
      </w:numPr>
      <w:outlineLvl w:val="4"/>
    </w:pPr>
  </w:style>
  <w:style w:type="paragraph" w:customStyle="1" w:styleId="61">
    <w:name w:val="示例"/>
    <w:next w:val="62"/>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62">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3">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4">
    <w:name w:val="四级条标题"/>
    <w:basedOn w:val="60"/>
    <w:next w:val="28"/>
    <w:qFormat/>
    <w:uiPriority w:val="0"/>
    <w:pPr>
      <w:numPr>
        <w:ilvl w:val="4"/>
      </w:numPr>
      <w:outlineLvl w:val="5"/>
    </w:pPr>
  </w:style>
  <w:style w:type="paragraph" w:customStyle="1" w:styleId="65">
    <w:name w:val="五级条标题"/>
    <w:basedOn w:val="64"/>
    <w:next w:val="28"/>
    <w:qFormat/>
    <w:uiPriority w:val="0"/>
    <w:pPr>
      <w:numPr>
        <w:ilvl w:val="5"/>
      </w:numPr>
      <w:outlineLvl w:val="6"/>
    </w:pPr>
  </w:style>
  <w:style w:type="paragraph" w:customStyle="1" w:styleId="66">
    <w:name w:val="注："/>
    <w:next w:val="28"/>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7">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8">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9">
    <w:name w:val="列项◆（三级）"/>
    <w:basedOn w:val="1"/>
    <w:qFormat/>
    <w:uiPriority w:val="0"/>
    <w:pPr>
      <w:numPr>
        <w:ilvl w:val="2"/>
        <w:numId w:val="3"/>
      </w:numPr>
    </w:pPr>
    <w:rPr>
      <w:rFonts w:ascii="宋体"/>
      <w:szCs w:val="21"/>
    </w:rPr>
  </w:style>
  <w:style w:type="paragraph" w:customStyle="1" w:styleId="70">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71">
    <w:name w:val="示例×："/>
    <w:basedOn w:val="54"/>
    <w:qFormat/>
    <w:uiPriority w:val="0"/>
    <w:pPr>
      <w:numPr>
        <w:ilvl w:val="0"/>
        <w:numId w:val="8"/>
      </w:numPr>
      <w:outlineLvl w:val="9"/>
    </w:pPr>
    <w:rPr>
      <w:rFonts w:ascii="宋体" w:eastAsia="宋体"/>
      <w:sz w:val="18"/>
      <w:szCs w:val="18"/>
    </w:rPr>
  </w:style>
  <w:style w:type="paragraph" w:customStyle="1" w:styleId="72">
    <w:name w:val="二级无"/>
    <w:basedOn w:val="55"/>
    <w:qFormat/>
    <w:uiPriority w:val="0"/>
    <w:rPr>
      <w:rFonts w:ascii="宋体" w:eastAsia="宋体"/>
    </w:rPr>
  </w:style>
  <w:style w:type="paragraph" w:customStyle="1" w:styleId="73">
    <w:name w:val="注：（正文）"/>
    <w:basedOn w:val="66"/>
    <w:next w:val="28"/>
    <w:qFormat/>
    <w:uiPriority w:val="0"/>
  </w:style>
  <w:style w:type="paragraph" w:customStyle="1" w:styleId="74">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7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6">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8">
    <w:name w:val="标准书眉_偶数页"/>
    <w:basedOn w:val="53"/>
    <w:next w:val="1"/>
    <w:qFormat/>
    <w:uiPriority w:val="0"/>
    <w:pPr>
      <w:jc w:val="left"/>
    </w:pPr>
  </w:style>
  <w:style w:type="paragraph" w:customStyle="1" w:styleId="79">
    <w:name w:val="标准书眉一"/>
    <w:qFormat/>
    <w:uiPriority w:val="0"/>
    <w:pPr>
      <w:jc w:val="both"/>
    </w:pPr>
    <w:rPr>
      <w:rFonts w:ascii="Times New Roman" w:hAnsi="Times New Roman" w:eastAsia="宋体" w:cs="Times New Roman"/>
      <w:lang w:val="en-US" w:eastAsia="zh-CN" w:bidi="ar-SA"/>
    </w:rPr>
  </w:style>
  <w:style w:type="paragraph" w:customStyle="1" w:styleId="80">
    <w:name w:val="参考文献"/>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1">
    <w:name w:val="参考文献、索引标题"/>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2">
    <w:name w:val="发布"/>
    <w:qFormat/>
    <w:uiPriority w:val="0"/>
    <w:rPr>
      <w:rFonts w:ascii="黑体" w:eastAsia="黑体"/>
      <w:spacing w:val="85"/>
      <w:w w:val="100"/>
      <w:position w:val="3"/>
      <w:sz w:val="28"/>
      <w:szCs w:val="28"/>
    </w:rPr>
  </w:style>
  <w:style w:type="paragraph" w:customStyle="1" w:styleId="83">
    <w:name w:val="发布部门"/>
    <w:next w:val="28"/>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8">
    <w:name w:val="封面标准英文名称"/>
    <w:basedOn w:val="87"/>
    <w:qFormat/>
    <w:uiPriority w:val="0"/>
    <w:pPr>
      <w:framePr w:wrap="around"/>
      <w:spacing w:before="370" w:line="400" w:lineRule="exact"/>
    </w:pPr>
    <w:rPr>
      <w:rFonts w:ascii="Times New Roman"/>
      <w:sz w:val="28"/>
      <w:szCs w:val="28"/>
    </w:rPr>
  </w:style>
  <w:style w:type="paragraph" w:customStyle="1" w:styleId="89">
    <w:name w:val="封面一致性程度标识"/>
    <w:basedOn w:val="88"/>
    <w:qFormat/>
    <w:uiPriority w:val="0"/>
    <w:pPr>
      <w:framePr w:wrap="around"/>
      <w:spacing w:before="440"/>
    </w:pPr>
    <w:rPr>
      <w:rFonts w:ascii="宋体" w:eastAsia="宋体"/>
    </w:rPr>
  </w:style>
  <w:style w:type="paragraph" w:customStyle="1" w:styleId="90">
    <w:name w:val="封面标准文稿类别"/>
    <w:basedOn w:val="89"/>
    <w:qFormat/>
    <w:uiPriority w:val="0"/>
    <w:pPr>
      <w:framePr w:wrap="around"/>
      <w:spacing w:after="160" w:line="240" w:lineRule="auto"/>
    </w:pPr>
    <w:rPr>
      <w:sz w:val="24"/>
    </w:rPr>
  </w:style>
  <w:style w:type="paragraph" w:customStyle="1" w:styleId="91">
    <w:name w:val="封面标准文稿编辑信息"/>
    <w:basedOn w:val="90"/>
    <w:qFormat/>
    <w:uiPriority w:val="0"/>
    <w:pPr>
      <w:framePr w:wrap="around"/>
      <w:spacing w:before="180" w:line="180" w:lineRule="exact"/>
    </w:pPr>
    <w:rPr>
      <w:sz w:val="21"/>
    </w:rPr>
  </w:style>
  <w:style w:type="paragraph" w:customStyle="1" w:styleId="92">
    <w:name w:val="封面正文"/>
    <w:qFormat/>
    <w:uiPriority w:val="0"/>
    <w:pPr>
      <w:jc w:val="both"/>
    </w:pPr>
    <w:rPr>
      <w:rFonts w:ascii="Times New Roman" w:hAnsi="Times New Roman" w:eastAsia="宋体" w:cs="Times New Roman"/>
      <w:lang w:val="en-US" w:eastAsia="zh-CN" w:bidi="ar-SA"/>
    </w:rPr>
  </w:style>
  <w:style w:type="paragraph" w:customStyle="1" w:styleId="93">
    <w:name w:val="附录标识"/>
    <w:basedOn w:val="1"/>
    <w:next w:val="28"/>
    <w:qFormat/>
    <w:uiPriority w:val="0"/>
    <w:pPr>
      <w:keepNext/>
      <w:widowControl/>
      <w:numPr>
        <w:ilvl w:val="0"/>
        <w:numId w:val="10"/>
      </w:numPr>
      <w:shd w:val="clear" w:color="FFFFFF" w:fill="FFFFFF"/>
      <w:tabs>
        <w:tab w:val="left" w:pos="6405"/>
      </w:tabs>
      <w:spacing w:before="640" w:after="280"/>
      <w:jc w:val="center"/>
      <w:outlineLvl w:val="0"/>
    </w:pPr>
    <w:rPr>
      <w:rFonts w:ascii="黑体" w:eastAsia="黑体"/>
      <w:kern w:val="0"/>
      <w:szCs w:val="20"/>
    </w:rPr>
  </w:style>
  <w:style w:type="paragraph" w:customStyle="1" w:styleId="94">
    <w:name w:val="附录标题"/>
    <w:basedOn w:val="28"/>
    <w:next w:val="28"/>
    <w:qFormat/>
    <w:uiPriority w:val="0"/>
    <w:pPr>
      <w:ind w:firstLine="0" w:firstLineChars="0"/>
      <w:jc w:val="center"/>
    </w:pPr>
    <w:rPr>
      <w:rFonts w:ascii="黑体" w:eastAsia="黑体"/>
    </w:rPr>
  </w:style>
  <w:style w:type="paragraph" w:customStyle="1" w:styleId="95">
    <w:name w:val="附录表标号"/>
    <w:basedOn w:val="1"/>
    <w:next w:val="28"/>
    <w:qFormat/>
    <w:uiPriority w:val="0"/>
    <w:pPr>
      <w:numPr>
        <w:ilvl w:val="0"/>
        <w:numId w:val="11"/>
      </w:numPr>
      <w:spacing w:line="14" w:lineRule="exact"/>
      <w:jc w:val="center"/>
      <w:outlineLvl w:val="0"/>
    </w:pPr>
    <w:rPr>
      <w:color w:val="FFFFFF"/>
    </w:rPr>
  </w:style>
  <w:style w:type="paragraph" w:customStyle="1" w:styleId="96">
    <w:name w:val="附录表标题"/>
    <w:basedOn w:val="1"/>
    <w:next w:val="28"/>
    <w:qFormat/>
    <w:uiPriority w:val="0"/>
    <w:pPr>
      <w:numPr>
        <w:ilvl w:val="1"/>
        <w:numId w:val="11"/>
      </w:numPr>
      <w:spacing w:beforeLines="50" w:afterLines="50"/>
      <w:jc w:val="center"/>
    </w:pPr>
    <w:rPr>
      <w:rFonts w:ascii="黑体" w:eastAsia="黑体"/>
      <w:szCs w:val="21"/>
    </w:rPr>
  </w:style>
  <w:style w:type="paragraph" w:customStyle="1" w:styleId="97">
    <w:name w:val="附录二级条标题"/>
    <w:basedOn w:val="1"/>
    <w:next w:val="28"/>
    <w:qFormat/>
    <w:uiPriority w:val="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8">
    <w:name w:val="附录二级无"/>
    <w:basedOn w:val="97"/>
    <w:qFormat/>
    <w:uiPriority w:val="0"/>
    <w:pPr>
      <w:tabs>
        <w:tab w:val="clear" w:pos="360"/>
      </w:tabs>
    </w:pPr>
    <w:rPr>
      <w:rFonts w:ascii="宋体" w:eastAsia="宋体"/>
      <w:szCs w:val="21"/>
    </w:rPr>
  </w:style>
  <w:style w:type="paragraph" w:customStyle="1" w:styleId="99">
    <w:name w:val="附录公式"/>
    <w:basedOn w:val="28"/>
    <w:next w:val="28"/>
    <w:link w:val="100"/>
    <w:qFormat/>
    <w:uiPriority w:val="0"/>
  </w:style>
  <w:style w:type="character" w:customStyle="1" w:styleId="100">
    <w:name w:val="附录公式 Char"/>
    <w:basedOn w:val="50"/>
    <w:link w:val="99"/>
    <w:qFormat/>
    <w:uiPriority w:val="0"/>
    <w:rPr>
      <w:rFonts w:ascii="宋体"/>
      <w:sz w:val="21"/>
      <w:lang w:val="en-US" w:eastAsia="zh-CN" w:bidi="ar-SA"/>
    </w:rPr>
  </w:style>
  <w:style w:type="paragraph" w:customStyle="1" w:styleId="101">
    <w:name w:val="附录公式编号制表符"/>
    <w:basedOn w:val="1"/>
    <w:next w:val="28"/>
    <w:qFormat/>
    <w:uiPriority w:val="0"/>
    <w:pPr>
      <w:widowControl/>
      <w:tabs>
        <w:tab w:val="center" w:pos="4201"/>
        <w:tab w:val="right" w:leader="dot" w:pos="9298"/>
      </w:tabs>
      <w:autoSpaceDE w:val="0"/>
      <w:autoSpaceDN w:val="0"/>
    </w:pPr>
    <w:rPr>
      <w:rFonts w:ascii="宋体"/>
      <w:kern w:val="0"/>
      <w:szCs w:val="20"/>
    </w:rPr>
  </w:style>
  <w:style w:type="paragraph" w:customStyle="1" w:styleId="102">
    <w:name w:val="附录三级条标题"/>
    <w:basedOn w:val="97"/>
    <w:next w:val="28"/>
    <w:qFormat/>
    <w:uiPriority w:val="0"/>
    <w:pPr>
      <w:numPr>
        <w:ilvl w:val="4"/>
        <w:numId w:val="0"/>
      </w:numPr>
      <w:outlineLvl w:val="4"/>
    </w:pPr>
  </w:style>
  <w:style w:type="paragraph" w:customStyle="1" w:styleId="103">
    <w:name w:val="附录三级无"/>
    <w:basedOn w:val="102"/>
    <w:qFormat/>
    <w:uiPriority w:val="0"/>
    <w:pPr>
      <w:tabs>
        <w:tab w:val="clear" w:pos="360"/>
      </w:tabs>
    </w:pPr>
    <w:rPr>
      <w:rFonts w:ascii="宋体" w:eastAsia="宋体"/>
      <w:szCs w:val="21"/>
    </w:rPr>
  </w:style>
  <w:style w:type="paragraph" w:customStyle="1" w:styleId="104">
    <w:name w:val="附录数字编号列项（二级）"/>
    <w:qFormat/>
    <w:uiPriority w:val="99"/>
    <w:pPr>
      <w:numPr>
        <w:ilvl w:val="1"/>
        <w:numId w:val="12"/>
      </w:numPr>
    </w:pPr>
    <w:rPr>
      <w:rFonts w:ascii="宋体" w:hAnsi="Times New Roman" w:eastAsia="宋体" w:cs="Times New Roman"/>
      <w:sz w:val="21"/>
      <w:lang w:val="en-US" w:eastAsia="zh-CN" w:bidi="ar-SA"/>
    </w:rPr>
  </w:style>
  <w:style w:type="paragraph" w:customStyle="1" w:styleId="105">
    <w:name w:val="附录四级条标题"/>
    <w:basedOn w:val="102"/>
    <w:next w:val="28"/>
    <w:qFormat/>
    <w:uiPriority w:val="0"/>
    <w:pPr>
      <w:numPr>
        <w:ilvl w:val="5"/>
      </w:numPr>
      <w:outlineLvl w:val="5"/>
    </w:pPr>
  </w:style>
  <w:style w:type="paragraph" w:customStyle="1" w:styleId="106">
    <w:name w:val="附录四级无"/>
    <w:basedOn w:val="105"/>
    <w:qFormat/>
    <w:uiPriority w:val="0"/>
    <w:pPr>
      <w:tabs>
        <w:tab w:val="clear" w:pos="360"/>
      </w:tabs>
    </w:pPr>
    <w:rPr>
      <w:rFonts w:ascii="宋体" w:eastAsia="宋体"/>
      <w:szCs w:val="21"/>
    </w:rPr>
  </w:style>
  <w:style w:type="paragraph" w:customStyle="1" w:styleId="107">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8">
    <w:name w:val="附录图标题"/>
    <w:basedOn w:val="1"/>
    <w:next w:val="28"/>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109">
    <w:name w:val="附录五级条标题"/>
    <w:basedOn w:val="105"/>
    <w:next w:val="28"/>
    <w:qFormat/>
    <w:uiPriority w:val="0"/>
    <w:pPr>
      <w:numPr>
        <w:ilvl w:val="6"/>
      </w:numPr>
      <w:outlineLvl w:val="6"/>
    </w:pPr>
  </w:style>
  <w:style w:type="paragraph" w:customStyle="1" w:styleId="110">
    <w:name w:val="附录五级无"/>
    <w:basedOn w:val="109"/>
    <w:qFormat/>
    <w:uiPriority w:val="0"/>
    <w:pPr>
      <w:tabs>
        <w:tab w:val="clear" w:pos="360"/>
      </w:tabs>
    </w:pPr>
    <w:rPr>
      <w:rFonts w:ascii="宋体" w:eastAsia="宋体"/>
      <w:szCs w:val="21"/>
    </w:rPr>
  </w:style>
  <w:style w:type="paragraph" w:customStyle="1" w:styleId="111">
    <w:name w:val="附录章标题"/>
    <w:next w:val="28"/>
    <w:qFormat/>
    <w:uiPriority w:val="0"/>
    <w:pPr>
      <w:numPr>
        <w:ilvl w:val="1"/>
        <w:numId w:val="10"/>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2">
    <w:name w:val="附录一级条标题"/>
    <w:basedOn w:val="111"/>
    <w:next w:val="28"/>
    <w:qFormat/>
    <w:uiPriority w:val="0"/>
    <w:pPr>
      <w:numPr>
        <w:ilvl w:val="2"/>
        <w:numId w:val="0"/>
      </w:numPr>
      <w:tabs>
        <w:tab w:val="left" w:pos="360"/>
      </w:tabs>
      <w:autoSpaceDN w:val="0"/>
      <w:spacing w:beforeLines="50" w:afterLines="50"/>
      <w:outlineLvl w:val="2"/>
    </w:pPr>
  </w:style>
  <w:style w:type="paragraph" w:customStyle="1" w:styleId="113">
    <w:name w:val="附录一级无"/>
    <w:basedOn w:val="112"/>
    <w:qFormat/>
    <w:uiPriority w:val="0"/>
    <w:pPr>
      <w:tabs>
        <w:tab w:val="clear" w:pos="360"/>
      </w:tabs>
    </w:pPr>
    <w:rPr>
      <w:rFonts w:ascii="宋体" w:eastAsia="宋体"/>
      <w:szCs w:val="21"/>
    </w:rPr>
  </w:style>
  <w:style w:type="paragraph" w:customStyle="1" w:styleId="114">
    <w:name w:val="附录字母编号列项（一级）"/>
    <w:qFormat/>
    <w:uiPriority w:val="99"/>
    <w:pPr>
      <w:numPr>
        <w:ilvl w:val="0"/>
        <w:numId w:val="12"/>
      </w:numPr>
    </w:pPr>
    <w:rPr>
      <w:rFonts w:ascii="宋体" w:hAnsi="Times New Roman" w:eastAsia="宋体" w:cs="Times New Roman"/>
      <w:sz w:val="21"/>
      <w:lang w:val="en-US" w:eastAsia="zh-CN" w:bidi="ar-SA"/>
    </w:rPr>
  </w:style>
  <w:style w:type="paragraph" w:customStyle="1" w:styleId="11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6">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8">
    <w:name w:val="其他标准标志"/>
    <w:basedOn w:val="75"/>
    <w:qFormat/>
    <w:uiPriority w:val="0"/>
    <w:pPr>
      <w:framePr w:w="6101" w:wrap="around" w:vAnchor="page" w:hAnchor="page" w:x="4673" w:y="942"/>
    </w:pPr>
    <w:rPr>
      <w:w w:val="130"/>
    </w:rPr>
  </w:style>
  <w:style w:type="paragraph" w:customStyle="1" w:styleId="11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0">
    <w:name w:val="其他发布部门"/>
    <w:basedOn w:val="83"/>
    <w:qFormat/>
    <w:uiPriority w:val="0"/>
    <w:pPr>
      <w:framePr w:wrap="around" w:y="15310"/>
      <w:spacing w:line="0" w:lineRule="atLeast"/>
    </w:pPr>
    <w:rPr>
      <w:rFonts w:ascii="黑体" w:eastAsia="黑体"/>
      <w:b w:val="0"/>
    </w:rPr>
  </w:style>
  <w:style w:type="paragraph" w:customStyle="1" w:styleId="121">
    <w:name w:val="前言、引言标题"/>
    <w:next w:val="28"/>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2">
    <w:name w:val="三级无"/>
    <w:basedOn w:val="60"/>
    <w:qFormat/>
    <w:uiPriority w:val="0"/>
    <w:rPr>
      <w:rFonts w:ascii="宋体" w:eastAsia="宋体"/>
    </w:rPr>
  </w:style>
  <w:style w:type="paragraph" w:customStyle="1" w:styleId="123">
    <w:name w:val="实施日期"/>
    <w:basedOn w:val="84"/>
    <w:qFormat/>
    <w:uiPriority w:val="0"/>
    <w:pPr>
      <w:framePr w:wrap="around" w:vAnchor="page" w:hAnchor="text"/>
      <w:jc w:val="right"/>
    </w:pPr>
  </w:style>
  <w:style w:type="paragraph" w:customStyle="1" w:styleId="124">
    <w:name w:val="示例后文字"/>
    <w:basedOn w:val="28"/>
    <w:next w:val="28"/>
    <w:qFormat/>
    <w:uiPriority w:val="0"/>
    <w:pPr>
      <w:ind w:firstLine="360"/>
    </w:pPr>
    <w:rPr>
      <w:sz w:val="18"/>
    </w:rPr>
  </w:style>
  <w:style w:type="paragraph" w:customStyle="1" w:styleId="125">
    <w:name w:val="首示例"/>
    <w:next w:val="28"/>
    <w:link w:val="126"/>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26">
    <w:name w:val="首示例 Char"/>
    <w:link w:val="125"/>
    <w:qFormat/>
    <w:uiPriority w:val="0"/>
    <w:rPr>
      <w:rFonts w:ascii="宋体" w:hAnsi="宋体"/>
      <w:kern w:val="2"/>
      <w:sz w:val="18"/>
      <w:szCs w:val="18"/>
    </w:rPr>
  </w:style>
  <w:style w:type="paragraph" w:customStyle="1" w:styleId="127">
    <w:name w:val="四级无"/>
    <w:basedOn w:val="64"/>
    <w:qFormat/>
    <w:uiPriority w:val="0"/>
    <w:rPr>
      <w:rFonts w:ascii="宋体" w:eastAsia="宋体"/>
    </w:rPr>
  </w:style>
  <w:style w:type="paragraph" w:customStyle="1" w:styleId="128">
    <w:name w:val="条文脚注"/>
    <w:basedOn w:val="29"/>
    <w:qFormat/>
    <w:uiPriority w:val="0"/>
    <w:pPr>
      <w:numPr>
        <w:numId w:val="0"/>
      </w:numPr>
      <w:jc w:val="both"/>
    </w:pPr>
  </w:style>
  <w:style w:type="paragraph" w:customStyle="1" w:styleId="129">
    <w:name w:val="图标脚注说明"/>
    <w:basedOn w:val="28"/>
    <w:qFormat/>
    <w:uiPriority w:val="0"/>
    <w:pPr>
      <w:ind w:left="840" w:hanging="420" w:firstLineChars="0"/>
    </w:pPr>
    <w:rPr>
      <w:sz w:val="18"/>
      <w:szCs w:val="18"/>
    </w:rPr>
  </w:style>
  <w:style w:type="paragraph" w:customStyle="1" w:styleId="130">
    <w:name w:val="图表脚注说明"/>
    <w:basedOn w:val="1"/>
    <w:qFormat/>
    <w:uiPriority w:val="0"/>
    <w:pPr>
      <w:numPr>
        <w:ilvl w:val="0"/>
        <w:numId w:val="15"/>
      </w:numPr>
    </w:pPr>
    <w:rPr>
      <w:rFonts w:ascii="宋体"/>
      <w:sz w:val="18"/>
      <w:szCs w:val="18"/>
    </w:rPr>
  </w:style>
  <w:style w:type="paragraph" w:customStyle="1" w:styleId="131">
    <w:name w:val="图的脚注"/>
    <w:next w:val="28"/>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2">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3">
    <w:name w:val="五级无"/>
    <w:basedOn w:val="65"/>
    <w:qFormat/>
    <w:uiPriority w:val="0"/>
    <w:rPr>
      <w:rFonts w:ascii="宋体" w:eastAsia="宋体"/>
    </w:rPr>
  </w:style>
  <w:style w:type="paragraph" w:customStyle="1" w:styleId="134">
    <w:name w:val="一级无"/>
    <w:basedOn w:val="51"/>
    <w:qFormat/>
    <w:uiPriority w:val="0"/>
    <w:rPr>
      <w:rFonts w:ascii="宋体" w:eastAsia="宋体"/>
    </w:rPr>
  </w:style>
  <w:style w:type="paragraph" w:customStyle="1" w:styleId="135">
    <w:name w:val="正文表标题"/>
    <w:next w:val="28"/>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6">
    <w:name w:val="正文公式编号制表符"/>
    <w:basedOn w:val="28"/>
    <w:next w:val="28"/>
    <w:qFormat/>
    <w:uiPriority w:val="0"/>
    <w:pPr>
      <w:ind w:firstLine="0" w:firstLineChars="0"/>
    </w:pPr>
  </w:style>
  <w:style w:type="paragraph" w:customStyle="1" w:styleId="137">
    <w:name w:val="正文图标题"/>
    <w:next w:val="2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38">
    <w:name w:val="终结线"/>
    <w:basedOn w:val="1"/>
    <w:qFormat/>
    <w:uiPriority w:val="0"/>
    <w:pPr>
      <w:framePr w:hSpace="181" w:vSpace="181" w:wrap="around" w:vAnchor="text" w:hAnchor="margin" w:xAlign="center" w:y="285"/>
    </w:pPr>
  </w:style>
  <w:style w:type="paragraph" w:customStyle="1" w:styleId="139">
    <w:name w:val="其他发布日期"/>
    <w:basedOn w:val="84"/>
    <w:qFormat/>
    <w:uiPriority w:val="0"/>
    <w:pPr>
      <w:framePr w:wrap="around" w:vAnchor="page" w:hAnchor="text" w:x="1419"/>
    </w:pPr>
  </w:style>
  <w:style w:type="paragraph" w:customStyle="1" w:styleId="140">
    <w:name w:val="其他实施日期"/>
    <w:basedOn w:val="123"/>
    <w:qFormat/>
    <w:uiPriority w:val="0"/>
    <w:pPr>
      <w:framePr w:wrap="around"/>
    </w:pPr>
  </w:style>
  <w:style w:type="paragraph" w:customStyle="1" w:styleId="141">
    <w:name w:val="封面标准名称2"/>
    <w:basedOn w:val="87"/>
    <w:qFormat/>
    <w:uiPriority w:val="0"/>
    <w:pPr>
      <w:framePr w:wrap="around" w:y="4469"/>
      <w:spacing w:beforeLines="630"/>
    </w:pPr>
  </w:style>
  <w:style w:type="paragraph" w:customStyle="1" w:styleId="142">
    <w:name w:val="封面标准英文名称2"/>
    <w:basedOn w:val="88"/>
    <w:qFormat/>
    <w:uiPriority w:val="0"/>
    <w:pPr>
      <w:framePr w:wrap="around" w:y="4469"/>
    </w:pPr>
  </w:style>
  <w:style w:type="paragraph" w:customStyle="1" w:styleId="143">
    <w:name w:val="封面一致性程度标识2"/>
    <w:basedOn w:val="89"/>
    <w:qFormat/>
    <w:uiPriority w:val="0"/>
    <w:pPr>
      <w:framePr w:wrap="around" w:y="4469"/>
    </w:pPr>
  </w:style>
  <w:style w:type="paragraph" w:customStyle="1" w:styleId="144">
    <w:name w:val="封面标准文稿类别2"/>
    <w:basedOn w:val="90"/>
    <w:qFormat/>
    <w:uiPriority w:val="0"/>
    <w:pPr>
      <w:framePr w:wrap="around" w:y="4469"/>
    </w:pPr>
  </w:style>
  <w:style w:type="paragraph" w:customStyle="1" w:styleId="145">
    <w:name w:val="封面标准文稿编辑信息2"/>
    <w:basedOn w:val="91"/>
    <w:qFormat/>
    <w:uiPriority w:val="0"/>
    <w:pPr>
      <w:framePr w:wrap="around" w:y="4469"/>
    </w:pPr>
  </w:style>
  <w:style w:type="paragraph" w:customStyle="1" w:styleId="146">
    <w:name w:val="Default"/>
    <w:qFormat/>
    <w:uiPriority w:val="0"/>
    <w:pPr>
      <w:widowControl w:val="0"/>
      <w:autoSpaceDE w:val="0"/>
      <w:autoSpaceDN w:val="0"/>
      <w:adjustRightInd w:val="0"/>
    </w:pPr>
    <w:rPr>
      <w:rFonts w:ascii="宋体" w:hAnsi="Times New Roman" w:eastAsia="宋体" w:cs="Times New Roman"/>
      <w:lang w:val="en-US" w:eastAsia="zh-CN" w:bidi="ar-SA"/>
    </w:rPr>
  </w:style>
  <w:style w:type="character" w:customStyle="1" w:styleId="147">
    <w:name w:val="批注框文本 字符"/>
    <w:link w:val="21"/>
    <w:qFormat/>
    <w:uiPriority w:val="99"/>
    <w:rPr>
      <w:kern w:val="2"/>
      <w:sz w:val="18"/>
      <w:szCs w:val="18"/>
    </w:rPr>
  </w:style>
  <w:style w:type="character" w:customStyle="1" w:styleId="148">
    <w:name w:val="批注文字 字符"/>
    <w:link w:val="11"/>
    <w:qFormat/>
    <w:uiPriority w:val="99"/>
    <w:rPr>
      <w:kern w:val="2"/>
      <w:sz w:val="21"/>
      <w:szCs w:val="24"/>
    </w:rPr>
  </w:style>
  <w:style w:type="character" w:customStyle="1" w:styleId="149">
    <w:name w:val="批注主题 字符"/>
    <w:link w:val="39"/>
    <w:qFormat/>
    <w:uiPriority w:val="99"/>
    <w:rPr>
      <w:b/>
      <w:bCs/>
      <w:kern w:val="2"/>
      <w:sz w:val="21"/>
      <w:szCs w:val="24"/>
    </w:rPr>
  </w:style>
  <w:style w:type="paragraph" w:customStyle="1" w:styleId="150">
    <w:name w:val="修订1"/>
    <w:qFormat/>
    <w:uiPriority w:val="99"/>
    <w:rPr>
      <w:rFonts w:ascii="Times New Roman" w:hAnsi="Times New Roman" w:eastAsia="宋体" w:cs="Times New Roman"/>
      <w:kern w:val="2"/>
      <w:sz w:val="21"/>
      <w:szCs w:val="24"/>
      <w:lang w:val="en-US" w:eastAsia="zh-CN" w:bidi="ar-SA"/>
    </w:rPr>
  </w:style>
  <w:style w:type="character" w:customStyle="1" w:styleId="151">
    <w:name w:val="正文文本缩进 字符"/>
    <w:link w:val="14"/>
    <w:qFormat/>
    <w:uiPriority w:val="0"/>
    <w:rPr>
      <w:kern w:val="2"/>
      <w:sz w:val="21"/>
      <w:szCs w:val="24"/>
    </w:rPr>
  </w:style>
  <w:style w:type="paragraph" w:customStyle="1" w:styleId="152">
    <w:name w:val="正文1"/>
    <w:qFormat/>
    <w:uiPriority w:val="0"/>
    <w:pPr>
      <w:ind w:firstLine="480"/>
      <w:jc w:val="both"/>
    </w:pPr>
    <w:rPr>
      <w:rFonts w:ascii="Times New Roman" w:hAnsi="Times New Roman" w:eastAsia="宋体" w:cs="Times New Roman"/>
      <w:lang w:val="en-US" w:eastAsia="zh-CN" w:bidi="ar-SA"/>
    </w:rPr>
  </w:style>
  <w:style w:type="character" w:customStyle="1" w:styleId="153">
    <w:name w:val="标题 1 字符"/>
    <w:link w:val="2"/>
    <w:qFormat/>
    <w:uiPriority w:val="0"/>
    <w:rPr>
      <w:b/>
      <w:bCs/>
      <w:kern w:val="44"/>
      <w:sz w:val="44"/>
      <w:szCs w:val="44"/>
    </w:rPr>
  </w:style>
  <w:style w:type="paragraph" w:customStyle="1" w:styleId="154">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155">
    <w:name w:val="页脚 字符"/>
    <w:link w:val="22"/>
    <w:qFormat/>
    <w:uiPriority w:val="99"/>
    <w:rPr>
      <w:kern w:val="2"/>
      <w:sz w:val="18"/>
      <w:szCs w:val="18"/>
    </w:rPr>
  </w:style>
  <w:style w:type="character" w:customStyle="1" w:styleId="156">
    <w:name w:val="正文首行缩进 Char"/>
    <w:link w:val="157"/>
    <w:qFormat/>
    <w:uiPriority w:val="0"/>
    <w:rPr>
      <w:rFonts w:ascii="Arial" w:hAnsi="Arial" w:cs="Arial"/>
      <w:b/>
      <w:bCs/>
      <w:kern w:val="2"/>
      <w:sz w:val="21"/>
      <w:szCs w:val="24"/>
    </w:rPr>
  </w:style>
  <w:style w:type="paragraph" w:customStyle="1" w:styleId="157">
    <w:name w:val="正文首行缩进1"/>
    <w:basedOn w:val="13"/>
    <w:link w:val="156"/>
    <w:qFormat/>
    <w:uiPriority w:val="0"/>
    <w:pPr>
      <w:spacing w:after="120"/>
      <w:ind w:firstLine="420" w:firstLineChars="100"/>
    </w:pPr>
    <w:rPr>
      <w:rFonts w:cs="Times New Roman"/>
    </w:rPr>
  </w:style>
  <w:style w:type="character" w:customStyle="1" w:styleId="158">
    <w:name w:val="标题 2 字符"/>
    <w:link w:val="3"/>
    <w:qFormat/>
    <w:uiPriority w:val="0"/>
    <w:rPr>
      <w:rFonts w:ascii="Arial" w:hAnsi="Arial"/>
      <w:b/>
      <w:bCs/>
      <w:sz w:val="32"/>
      <w:szCs w:val="32"/>
    </w:rPr>
  </w:style>
  <w:style w:type="character" w:customStyle="1" w:styleId="159">
    <w:name w:val="标题 3 字符"/>
    <w:link w:val="4"/>
    <w:qFormat/>
    <w:uiPriority w:val="9"/>
    <w:rPr>
      <w:rFonts w:ascii="Helvetica" w:hAnsi="Helvetica" w:eastAsia="Arial Unicode MS" w:cs="Arial Unicode MS"/>
      <w:b/>
      <w:bCs/>
      <w:color w:val="000000"/>
      <w:sz w:val="32"/>
      <w:szCs w:val="32"/>
      <w:lang w:val="zh-CN"/>
    </w:rPr>
  </w:style>
  <w:style w:type="character" w:customStyle="1" w:styleId="160">
    <w:name w:val="标题 4 字符"/>
    <w:link w:val="5"/>
    <w:qFormat/>
    <w:uiPriority w:val="9"/>
    <w:rPr>
      <w:rFonts w:ascii="Helvetica" w:hAnsi="Helvetica" w:eastAsia="黑体"/>
      <w:bCs/>
      <w:color w:val="000000" w:themeColor="text1"/>
      <w:sz w:val="21"/>
      <w:szCs w:val="28"/>
      <w:lang w:val="zh-CN"/>
      <w14:textFill>
        <w14:solidFill>
          <w14:schemeClr w14:val="tx1"/>
        </w14:solidFill>
      </w14:textFill>
    </w:rPr>
  </w:style>
  <w:style w:type="table" w:customStyle="1" w:styleId="161">
    <w:name w:val="Table Normal"/>
    <w:qFormat/>
    <w:uiPriority w:val="0"/>
    <w:tblPr>
      <w:tblCellMar>
        <w:top w:w="0" w:type="dxa"/>
        <w:left w:w="0" w:type="dxa"/>
        <w:bottom w:w="0" w:type="dxa"/>
        <w:right w:w="0" w:type="dxa"/>
      </w:tblCellMar>
    </w:tblPr>
  </w:style>
  <w:style w:type="paragraph" w:customStyle="1" w:styleId="162">
    <w:name w:val="页眉与页脚"/>
    <w:qFormat/>
    <w:uiPriority w:val="0"/>
    <w:pPr>
      <w:tabs>
        <w:tab w:val="right" w:pos="9020"/>
      </w:tabs>
    </w:pPr>
    <w:rPr>
      <w:rFonts w:ascii="Helvetica" w:hAnsi="Helvetica" w:eastAsia="Arial Unicode MS" w:cs="Arial Unicode MS"/>
      <w:color w:val="000000"/>
      <w:sz w:val="24"/>
      <w:szCs w:val="24"/>
      <w:lang w:val="en-US" w:eastAsia="zh-CN" w:bidi="ar-SA"/>
    </w:rPr>
  </w:style>
  <w:style w:type="paragraph" w:styleId="163">
    <w:name w:val="List Paragraph"/>
    <w:link w:val="172"/>
    <w:qFormat/>
    <w:uiPriority w:val="99"/>
    <w:pPr>
      <w:widowControl w:val="0"/>
      <w:ind w:firstLine="420"/>
      <w:jc w:val="both"/>
    </w:pPr>
    <w:rPr>
      <w:rFonts w:ascii="等线" w:hAnsi="等线" w:eastAsia="等线" w:cs="Times New Roman"/>
      <w:color w:val="000000"/>
      <w:kern w:val="2"/>
      <w:sz w:val="21"/>
      <w:szCs w:val="21"/>
      <w:u w:color="000000"/>
      <w:lang w:val="en-US" w:eastAsia="zh-CN" w:bidi="ar-SA"/>
    </w:rPr>
  </w:style>
  <w:style w:type="paragraph" w:customStyle="1" w:styleId="164">
    <w:name w:val="正文 A"/>
    <w:qFormat/>
    <w:uiPriority w:val="0"/>
    <w:rPr>
      <w:rFonts w:ascii="Helvetica" w:hAnsi="Helvetica" w:eastAsia="Arial Unicode MS" w:cs="Arial Unicode MS"/>
      <w:color w:val="000000"/>
      <w:sz w:val="22"/>
      <w:szCs w:val="22"/>
      <w:u w:color="000000"/>
      <w:lang w:val="zh-TW" w:eastAsia="zh-TW" w:bidi="ar-SA"/>
    </w:rPr>
  </w:style>
  <w:style w:type="paragraph" w:customStyle="1" w:styleId="165">
    <w:name w:val="_Style 5"/>
    <w:qFormat/>
    <w:uiPriority w:val="0"/>
    <w:pPr>
      <w:widowControl w:val="0"/>
      <w:ind w:firstLine="420"/>
      <w:jc w:val="both"/>
    </w:pPr>
    <w:rPr>
      <w:rFonts w:ascii="Calibri" w:hAnsi="Calibri" w:eastAsia="Calibri" w:cs="Calibri"/>
      <w:color w:val="000000"/>
      <w:kern w:val="2"/>
      <w:sz w:val="21"/>
      <w:szCs w:val="21"/>
      <w:u w:color="000000"/>
      <w:lang w:val="en-US" w:eastAsia="zh-CN" w:bidi="ar-SA"/>
    </w:rPr>
  </w:style>
  <w:style w:type="paragraph" w:customStyle="1" w:styleId="166">
    <w:name w:val="ordinary-output"/>
    <w:qFormat/>
    <w:uiPriority w:val="0"/>
    <w:pPr>
      <w:spacing w:before="100" w:after="60" w:line="264" w:lineRule="atLeast"/>
    </w:pPr>
    <w:rPr>
      <w:rFonts w:ascii="宋体" w:hAnsi="宋体" w:eastAsia="宋体" w:cs="宋体"/>
      <w:color w:val="333333"/>
      <w:sz w:val="22"/>
      <w:szCs w:val="22"/>
      <w:u w:color="333333"/>
      <w:lang w:val="en-US" w:eastAsia="zh-CN" w:bidi="ar-SA"/>
    </w:rPr>
  </w:style>
  <w:style w:type="paragraph" w:customStyle="1" w:styleId="167">
    <w:name w:val="正文 A A"/>
    <w:qFormat/>
    <w:uiPriority w:val="0"/>
    <w:pPr>
      <w:widowControl w:val="0"/>
      <w:jc w:val="both"/>
    </w:pPr>
    <w:rPr>
      <w:rFonts w:hint="eastAsia" w:ascii="Arial Unicode MS" w:hAnsi="Arial Unicode MS" w:eastAsia="Arial Unicode MS" w:cs="Arial Unicode MS"/>
      <w:color w:val="000000"/>
      <w:kern w:val="2"/>
      <w:sz w:val="21"/>
      <w:szCs w:val="21"/>
      <w:u w:color="000000"/>
      <w:lang w:val="en-US" w:eastAsia="zh-CN" w:bidi="ar-SA"/>
    </w:rPr>
  </w:style>
  <w:style w:type="character" w:customStyle="1" w:styleId="168">
    <w:name w:val="Hyperlink.0"/>
    <w:qFormat/>
    <w:uiPriority w:val="0"/>
  </w:style>
  <w:style w:type="character" w:customStyle="1" w:styleId="169">
    <w:name w:val="Hyperlink.1"/>
    <w:qFormat/>
    <w:uiPriority w:val="0"/>
  </w:style>
  <w:style w:type="character" w:customStyle="1" w:styleId="170">
    <w:name w:val="Hyperlink.2"/>
    <w:qFormat/>
    <w:uiPriority w:val="0"/>
  </w:style>
  <w:style w:type="character" w:customStyle="1" w:styleId="171">
    <w:name w:val="Hyperlink.3"/>
    <w:qFormat/>
    <w:uiPriority w:val="0"/>
  </w:style>
  <w:style w:type="character" w:customStyle="1" w:styleId="172">
    <w:name w:val="列表段落 字符"/>
    <w:link w:val="163"/>
    <w:qFormat/>
    <w:uiPriority w:val="99"/>
    <w:rPr>
      <w:rFonts w:ascii="等线" w:hAnsi="等线" w:eastAsia="等线"/>
      <w:color w:val="000000"/>
      <w:kern w:val="2"/>
      <w:sz w:val="21"/>
      <w:szCs w:val="21"/>
      <w:u w:color="000000"/>
      <w:lang w:bidi="ar-SA"/>
    </w:rPr>
  </w:style>
  <w:style w:type="character" w:customStyle="1" w:styleId="173">
    <w:name w:val="short_text"/>
    <w:qFormat/>
    <w:uiPriority w:val="0"/>
  </w:style>
  <w:style w:type="character" w:customStyle="1" w:styleId="174">
    <w:name w:val="一级条标题 Char"/>
    <w:link w:val="51"/>
    <w:qFormat/>
    <w:uiPriority w:val="0"/>
    <w:rPr>
      <w:rFonts w:ascii="黑体" w:eastAsia="黑体"/>
      <w:sz w:val="21"/>
      <w:szCs w:val="21"/>
      <w:lang w:bidi="ar-SA"/>
    </w:rPr>
  </w:style>
  <w:style w:type="character" w:customStyle="1" w:styleId="175">
    <w:name w:val="页眉 字符"/>
    <w:link w:val="23"/>
    <w:qFormat/>
    <w:uiPriority w:val="99"/>
    <w:rPr>
      <w:kern w:val="2"/>
      <w:sz w:val="18"/>
      <w:szCs w:val="18"/>
    </w:rPr>
  </w:style>
  <w:style w:type="character" w:customStyle="1" w:styleId="176">
    <w:name w:val="HTML 预设格式 字符"/>
    <w:link w:val="36"/>
    <w:qFormat/>
    <w:uiPriority w:val="99"/>
    <w:rPr>
      <w:rFonts w:ascii="宋体" w:hAnsi="宋体" w:cs="宋体"/>
      <w:sz w:val="24"/>
      <w:szCs w:val="24"/>
    </w:rPr>
  </w:style>
  <w:style w:type="character" w:customStyle="1" w:styleId="177">
    <w:name w:val="fontstyle01"/>
    <w:uiPriority w:val="0"/>
    <w:rPr>
      <w:rFonts w:hint="default" w:ascii="FZXH1JW--GB1-0" w:hAnsi="FZXH1JW--GB1-0"/>
      <w:color w:val="231F20"/>
      <w:sz w:val="22"/>
      <w:szCs w:val="22"/>
    </w:rPr>
  </w:style>
  <w:style w:type="character" w:customStyle="1" w:styleId="178">
    <w:name w:val="列出段落 字符"/>
    <w:qFormat/>
    <w:uiPriority w:val="34"/>
    <w:rPr>
      <w:rFonts w:ascii="等线" w:hAnsi="等线" w:eastAsia="等线"/>
      <w:color w:val="000000"/>
      <w:kern w:val="2"/>
      <w:sz w:val="21"/>
      <w:szCs w:val="21"/>
      <w:u w:color="000000"/>
    </w:rPr>
  </w:style>
  <w:style w:type="paragraph" w:customStyle="1" w:styleId="179">
    <w:name w:val="样式 批注文字 + 黑色 首行缩进:  2 字符"/>
    <w:basedOn w:val="11"/>
    <w:qFormat/>
    <w:uiPriority w:val="0"/>
    <w:pPr>
      <w:ind w:firstLine="420" w:firstLineChars="200"/>
    </w:pPr>
    <w:rPr>
      <w:rFonts w:ascii="Calibri" w:hAnsi="Calibri" w:cs="宋体"/>
      <w:color w:val="000000"/>
      <w:szCs w:val="20"/>
    </w:rPr>
  </w:style>
  <w:style w:type="character" w:customStyle="1" w:styleId="180">
    <w:name w:val="二级条标题 字符"/>
    <w:link w:val="55"/>
    <w:qFormat/>
    <w:uiPriority w:val="99"/>
    <w:rPr>
      <w:rFonts w:ascii="黑体" w:eastAsia="黑体"/>
      <w:sz w:val="21"/>
      <w:szCs w:val="21"/>
    </w:rPr>
  </w:style>
  <w:style w:type="character" w:customStyle="1" w:styleId="181">
    <w:name w:val="content-right_8zs40"/>
    <w:basedOn w:val="42"/>
    <w:qFormat/>
    <w:uiPriority w:val="0"/>
  </w:style>
  <w:style w:type="paragraph" w:customStyle="1" w:styleId="18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3">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w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5a392e5-bdbf-4d91-947d-906e2a49dccb}"/>
        <w:style w:val=""/>
        <w:category>
          <w:name w:val="常规"/>
          <w:gallery w:val="placeholder"/>
        </w:category>
        <w:types>
          <w:type w:val="bbPlcHdr"/>
        </w:types>
        <w:behaviors>
          <w:behavior w:val="content"/>
        </w:behaviors>
        <w:description w:val=""/>
        <w:guid w:val="{B5A392E5-BDBF-4D91-947D-906E2A49DCCB}"/>
      </w:docPartPr>
      <w:docPartBody>
        <w:p w14:paraId="7CD15941">
          <w:pPr>
            <w:pStyle w:val="4"/>
            <w:rPr>
              <w:rFonts w:hint="eastAsia"/>
            </w:rPr>
          </w:pPr>
          <w:r>
            <w:rPr>
              <w:rStyle w:val="5"/>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D853DE"/>
    <w:rsid w:val="000C412E"/>
    <w:rsid w:val="002815C3"/>
    <w:rsid w:val="00342E7A"/>
    <w:rsid w:val="00367467"/>
    <w:rsid w:val="00393906"/>
    <w:rsid w:val="003D211F"/>
    <w:rsid w:val="003F63ED"/>
    <w:rsid w:val="00550692"/>
    <w:rsid w:val="00642638"/>
    <w:rsid w:val="007472CB"/>
    <w:rsid w:val="008A1E88"/>
    <w:rsid w:val="00934243"/>
    <w:rsid w:val="00981F51"/>
    <w:rsid w:val="009D7AFE"/>
    <w:rsid w:val="00B91BA7"/>
    <w:rsid w:val="00C46941"/>
    <w:rsid w:val="00D065AC"/>
    <w:rsid w:val="00D853DE"/>
    <w:rsid w:val="00E13F72"/>
    <w:rsid w:val="00E375E9"/>
    <w:rsid w:val="00F14FEE"/>
    <w:rsid w:val="00F51AD6"/>
    <w:rsid w:val="00FC5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97E9CFA69B3848EDB3743033AC86DB8C"/>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6E54C5-50A4-4B5C-B0CF-7D01530287A8}">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6</Pages>
  <Words>2255</Words>
  <Characters>3333</Characters>
  <Lines>26</Lines>
  <Paragraphs>7</Paragraphs>
  <TotalTime>127</TotalTime>
  <ScaleCrop>false</ScaleCrop>
  <LinksUpToDate>false</LinksUpToDate>
  <CharactersWithSpaces>3637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2022-08-01T02:08:00Z</dcterms:created>
  <dc:creator>CNIS</dc:creator>
  <cp:lastModifiedBy>李舒畅</cp:lastModifiedBy>
  <cp:lastPrinted>2024-09-20T04:43:00Z</cp:lastPrinted>
  <dcterms:modified xsi:type="dcterms:W3CDTF">2026-04-01T08:13:25Z</dcterms:modified>
  <dc:title>标准名称</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eyJoZGlkIjoiNTJhODhkZjViODYwNWU1MWFlOGU5MDkzMjY5M2M2NDEiLCJ1c2VySWQiOiIzMzk1MDMzMzUifQ==</vt:lpwstr>
  </property>
  <property fmtid="{D5CDD505-2E9C-101B-9397-08002B2CF9AE}" pid="4" name="ICV">
    <vt:lpwstr>4373C9FF62E7476F80A58FC0A4EB6D4D_13</vt:lpwstr>
  </property>
</Properties>
</file>